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34A49" w14:textId="77777777" w:rsidR="00E83828" w:rsidRDefault="00E83828" w:rsidP="00B8247A">
      <w:pPr>
        <w:rPr>
          <w:b/>
        </w:rPr>
      </w:pPr>
    </w:p>
    <w:p w14:paraId="13F397E8" w14:textId="34C280A0" w:rsidR="00E83828" w:rsidRDefault="00E83828" w:rsidP="00B8247A">
      <w:pPr>
        <w:rPr>
          <w:b/>
        </w:rPr>
      </w:pPr>
      <w:r>
        <w:rPr>
          <w:b/>
        </w:rPr>
        <w:t>Greater Boston Jewish Community Study, 2015</w:t>
      </w:r>
    </w:p>
    <w:p w14:paraId="57B5D378" w14:textId="757E93A8" w:rsidR="00E83828" w:rsidRDefault="00E83828" w:rsidP="00B8247A">
      <w:pPr>
        <w:rPr>
          <w:b/>
        </w:rPr>
      </w:pPr>
      <w:r>
        <w:rPr>
          <w:b/>
        </w:rPr>
        <w:t>Cohen Center for Modern Jewish Studies, Brandeis University</w:t>
      </w:r>
    </w:p>
    <w:p w14:paraId="751DC7C3" w14:textId="77777777" w:rsidR="00E83828" w:rsidRDefault="00E83828" w:rsidP="00B8247A">
      <w:pPr>
        <w:rPr>
          <w:b/>
        </w:rPr>
      </w:pPr>
      <w:r>
        <w:rPr>
          <w:b/>
        </w:rPr>
        <w:t xml:space="preserve">Documentation of Public Use Data Set </w:t>
      </w:r>
    </w:p>
    <w:p w14:paraId="27A30642" w14:textId="4E5768EA" w:rsidR="00E83828" w:rsidRDefault="00E83828" w:rsidP="00B8247A">
      <w:pPr>
        <w:rPr>
          <w:i/>
        </w:rPr>
      </w:pPr>
      <w:r w:rsidRPr="000C073B">
        <w:rPr>
          <w:i/>
        </w:rPr>
        <w:t xml:space="preserve">For more information contact Janet Krasner Aronson, </w:t>
      </w:r>
      <w:hyperlink r:id="rId8" w:history="1">
        <w:r w:rsidR="00C35004" w:rsidRPr="007214B9">
          <w:rPr>
            <w:rStyle w:val="Hyperlink"/>
            <w:i/>
          </w:rPr>
          <w:t>jaronson@brandeis.edu</w:t>
        </w:r>
      </w:hyperlink>
    </w:p>
    <w:p w14:paraId="29D689D6" w14:textId="39568CF9" w:rsidR="00C35004" w:rsidRPr="000C073B" w:rsidRDefault="00155A45" w:rsidP="00B8247A">
      <w:pPr>
        <w:rPr>
          <w:i/>
        </w:rPr>
      </w:pPr>
      <w:r>
        <w:rPr>
          <w:i/>
        </w:rPr>
        <w:t>V</w:t>
      </w:r>
      <w:r w:rsidR="00C35004">
        <w:rPr>
          <w:i/>
        </w:rPr>
        <w:t xml:space="preserve">ersion </w:t>
      </w:r>
      <w:r w:rsidR="00F5745A">
        <w:rPr>
          <w:i/>
        </w:rPr>
        <w:t>January</w:t>
      </w:r>
      <w:r w:rsidR="00C35004">
        <w:rPr>
          <w:i/>
        </w:rPr>
        <w:t xml:space="preserve"> </w:t>
      </w:r>
      <w:r w:rsidR="00F5745A">
        <w:rPr>
          <w:i/>
        </w:rPr>
        <w:t>9</w:t>
      </w:r>
      <w:r w:rsidR="00C35004">
        <w:rPr>
          <w:i/>
        </w:rPr>
        <w:t>, 201</w:t>
      </w:r>
      <w:r w:rsidR="00F5745A">
        <w:rPr>
          <w:i/>
        </w:rPr>
        <w:t>7</w:t>
      </w:r>
      <w:bookmarkStart w:id="0" w:name="_GoBack"/>
      <w:bookmarkEnd w:id="0"/>
    </w:p>
    <w:p w14:paraId="3433E18D" w14:textId="77777777" w:rsidR="00E83828" w:rsidRDefault="00E83828" w:rsidP="00B8247A">
      <w:pPr>
        <w:rPr>
          <w:b/>
        </w:rPr>
      </w:pPr>
    </w:p>
    <w:p w14:paraId="7EB594E3" w14:textId="2F507F3A" w:rsidR="00E83828" w:rsidRPr="000C073B" w:rsidRDefault="00E83828">
      <w:pPr>
        <w:rPr>
          <w:b/>
        </w:rPr>
      </w:pPr>
      <w:r>
        <w:rPr>
          <w:b/>
        </w:rPr>
        <w:t>Introduction</w:t>
      </w:r>
    </w:p>
    <w:p w14:paraId="1125A9C7" w14:textId="77777777" w:rsidR="00E83828" w:rsidRDefault="00E83828" w:rsidP="00B8247A">
      <w:pPr>
        <w:rPr>
          <w:b/>
        </w:rPr>
      </w:pPr>
    </w:p>
    <w:p w14:paraId="772E81E1" w14:textId="7B5651CA" w:rsidR="007475A1" w:rsidRDefault="00EE63C2" w:rsidP="00B8247A">
      <w:r w:rsidRPr="00EE63C2">
        <w:t xml:space="preserve">This </w:t>
      </w:r>
      <w:r>
        <w:t xml:space="preserve">document </w:t>
      </w:r>
      <w:r w:rsidR="00EF35BB">
        <w:t xml:space="preserve">describes the Public Use Data Set for the 2015 Greater Boston Jewish Community Study. It explains the constructed variables in the dataset </w:t>
      </w:r>
      <w:r w:rsidR="00102F3B">
        <w:t>and</w:t>
      </w:r>
      <w:r w:rsidR="00EF35BB">
        <w:t xml:space="preserve"> the procedures for statistical weighting. </w:t>
      </w:r>
    </w:p>
    <w:p w14:paraId="12A08CE4" w14:textId="77777777" w:rsidR="007475A1" w:rsidRDefault="007475A1" w:rsidP="00B8247A"/>
    <w:p w14:paraId="12ED78FD" w14:textId="2378E457" w:rsidR="007475A1" w:rsidRDefault="00EF35BB" w:rsidP="00B8247A">
      <w:r>
        <w:t xml:space="preserve">Variables that begin with the prefix “x_” were constructed from original survey responses, some of which are not included in the public data set (this is noted in the descriptions where applicable). All other variables are documented in the codebook (Appendix </w:t>
      </w:r>
      <w:r w:rsidR="00155A45">
        <w:t>D</w:t>
      </w:r>
      <w:r>
        <w:t xml:space="preserve"> of the report) and are taken directly from the survey. </w:t>
      </w:r>
    </w:p>
    <w:p w14:paraId="1ED7B714" w14:textId="77777777" w:rsidR="006A60A6" w:rsidRDefault="006A60A6" w:rsidP="00B8247A"/>
    <w:p w14:paraId="54972A85" w14:textId="3A4FA1EE" w:rsidR="006A60A6" w:rsidRDefault="00155A45" w:rsidP="00B8247A">
      <w:r>
        <w:t xml:space="preserve">You can find the report and technical appendices at: </w:t>
      </w:r>
      <w:hyperlink r:id="rId9" w:history="1">
        <w:r w:rsidRPr="00155A45">
          <w:rPr>
            <w:rStyle w:val="Hyperlink"/>
          </w:rPr>
          <w:t>http://www.brandeis.edu/ssri/communitystudies/bostonreport.html</w:t>
        </w:r>
      </w:hyperlink>
    </w:p>
    <w:p w14:paraId="3B4746EB" w14:textId="77777777" w:rsidR="007475A1" w:rsidRDefault="007475A1" w:rsidP="00B8247A"/>
    <w:p w14:paraId="398CB92E" w14:textId="7946C8E5" w:rsidR="00102F3B" w:rsidRPr="00102F3B" w:rsidRDefault="00102F3B" w:rsidP="00B8247A">
      <w:pPr>
        <w:rPr>
          <w:b/>
        </w:rPr>
      </w:pPr>
      <w:r>
        <w:rPr>
          <w:b/>
        </w:rPr>
        <w:t>About the Public Use Data Set</w:t>
      </w:r>
    </w:p>
    <w:p w14:paraId="66A8EADB" w14:textId="77777777" w:rsidR="00102F3B" w:rsidRDefault="00102F3B" w:rsidP="00B8247A"/>
    <w:p w14:paraId="5686FDBA" w14:textId="24D8CD21" w:rsidR="007475A1" w:rsidRDefault="003C37BE" w:rsidP="003C37BE">
      <w:r>
        <w:t xml:space="preserve">The Public Use Data Set contains all raw data provided by respondents except for data that might be used to identify individual respondents.  </w:t>
      </w:r>
      <w:r w:rsidR="007475A1">
        <w:t xml:space="preserve">Primarily, these removed variables were open-ended responses </w:t>
      </w:r>
      <w:r w:rsidR="00C35004">
        <w:t>and</w:t>
      </w:r>
      <w:r w:rsidR="007475A1">
        <w:t xml:space="preserve"> household ZIP codes.</w:t>
      </w:r>
    </w:p>
    <w:p w14:paraId="13C0B8F7" w14:textId="77777777" w:rsidR="007475A1" w:rsidRDefault="007475A1" w:rsidP="007475A1"/>
    <w:p w14:paraId="50859AB8" w14:textId="6A9E52DD" w:rsidR="00EF35BB" w:rsidRDefault="00EF35BB" w:rsidP="00B8247A">
      <w:r>
        <w:t>Descriptions of some variable naming conventions follow:</w:t>
      </w:r>
    </w:p>
    <w:p w14:paraId="76BB6119" w14:textId="1B370C5A" w:rsidR="000C073B" w:rsidRDefault="00EF35BB" w:rsidP="00EF35BB">
      <w:pPr>
        <w:pStyle w:val="ListParagraph"/>
        <w:numPr>
          <w:ilvl w:val="0"/>
          <w:numId w:val="3"/>
        </w:numPr>
      </w:pPr>
      <w:r>
        <w:t xml:space="preserve">All variables with a “resp” in the name refer to the respondent (e.g., respage is the age of the respondent and x_isrresp is the constructed variable noting if the respondent is Israeli). </w:t>
      </w:r>
    </w:p>
    <w:p w14:paraId="56DDCBDD" w14:textId="6384A0E3" w:rsidR="00EF35BB" w:rsidRDefault="00EF35BB" w:rsidP="00EF35BB">
      <w:pPr>
        <w:pStyle w:val="ListParagraph"/>
        <w:numPr>
          <w:ilvl w:val="0"/>
          <w:numId w:val="3"/>
        </w:numPr>
      </w:pPr>
      <w:r>
        <w:t>Variables with a “hhad” prefix refer to non-respondent adults in the household; these variables range from 2-9 because the respondent is considered as the first adult</w:t>
      </w:r>
      <w:r w:rsidR="007475A1">
        <w:t xml:space="preserve"> (e.g., hhadage3 is the age of the third adult in the household)</w:t>
      </w:r>
      <w:r>
        <w:t>.</w:t>
      </w:r>
    </w:p>
    <w:p w14:paraId="592F263B" w14:textId="609BF9E8" w:rsidR="00EF35BB" w:rsidRDefault="00EF35BB" w:rsidP="00EF35BB">
      <w:pPr>
        <w:pStyle w:val="ListParagraph"/>
        <w:numPr>
          <w:ilvl w:val="0"/>
          <w:numId w:val="3"/>
        </w:numPr>
      </w:pPr>
      <w:r>
        <w:t>Variables with a “hhch” prefix refer to the children in the household; these range from 1-9</w:t>
      </w:r>
      <w:r w:rsidR="007475A1">
        <w:t xml:space="preserve"> (e.g., hhchgrd1 is the grade-level of the first child in the household)</w:t>
      </w:r>
      <w:r>
        <w:t>.</w:t>
      </w:r>
    </w:p>
    <w:p w14:paraId="1FC7B985" w14:textId="5ACF10F2" w:rsidR="00EF35BB" w:rsidRPr="00EE63C2" w:rsidRDefault="00EF35BB" w:rsidP="00EF35BB">
      <w:pPr>
        <w:pStyle w:val="ListParagraph"/>
        <w:numPr>
          <w:ilvl w:val="0"/>
          <w:numId w:val="3"/>
        </w:numPr>
      </w:pPr>
      <w:r>
        <w:t>Variables with an “ac” prefix refer to adult children; these are children of the respondent who are 18 years of age or older</w:t>
      </w:r>
      <w:r w:rsidR="007475A1">
        <w:t xml:space="preserve"> (e.g., acempnow2 is the employment status of the second adult in the household, if that adult is the child of the respondent)</w:t>
      </w:r>
      <w:r>
        <w:t>.</w:t>
      </w:r>
    </w:p>
    <w:p w14:paraId="48A0EDFB" w14:textId="77777777" w:rsidR="007475A1" w:rsidRDefault="007475A1" w:rsidP="00B8247A">
      <w:pPr>
        <w:rPr>
          <w:b/>
        </w:rPr>
      </w:pPr>
    </w:p>
    <w:p w14:paraId="42403294" w14:textId="114A992C" w:rsidR="00D55BF1" w:rsidRDefault="00D55BF1" w:rsidP="00B8247A">
      <w:r>
        <w:rPr>
          <w:i/>
        </w:rPr>
        <w:t xml:space="preserve">Potential Issues with Data Interpretation </w:t>
      </w:r>
    </w:p>
    <w:p w14:paraId="19A0C9E8" w14:textId="77777777" w:rsidR="00D55BF1" w:rsidRDefault="00D55BF1" w:rsidP="00B8247A"/>
    <w:p w14:paraId="75E2E4F4" w14:textId="5777B7D1" w:rsidR="00D55BF1" w:rsidRDefault="00D55BF1" w:rsidP="00B8247A">
      <w:r>
        <w:t>CMJS as a rule maintained the integrity of the data as collected. As such, two potential issues warrant caution. First, due</w:t>
      </w:r>
      <w:r w:rsidRPr="00D55BF1">
        <w:t xml:space="preserve"> </w:t>
      </w:r>
      <w:r>
        <w:t xml:space="preserve">to programming conventions, both refusals and questions skipped through survey logic are coded the same way, as system missing. Second, there are </w:t>
      </w:r>
      <w:r>
        <w:lastRenderedPageBreak/>
        <w:t>cases where respondents answered a question and its follow-up before seemingly backtracking and changing the original response, which would otherwise render the follow-up response invalid. Such overwritten responses remain in the data set.</w:t>
      </w:r>
    </w:p>
    <w:p w14:paraId="0338B91E" w14:textId="77777777" w:rsidR="00D55BF1" w:rsidRDefault="00D55BF1" w:rsidP="00B8247A"/>
    <w:p w14:paraId="728D9588" w14:textId="3C1C5F47" w:rsidR="00D55BF1" w:rsidRDefault="00D55BF1" w:rsidP="00B8247A">
      <w:r>
        <w:t>The variables charany and charanyamt provide examples of both types of potential issues. Regarding system missing, those for whom charnay=0 were not asked charanyamt. Regarding probabl</w:t>
      </w:r>
      <w:r w:rsidR="00FF616B">
        <w:t>e</w:t>
      </w:r>
      <w:r>
        <w:t xml:space="preserve"> backtracking, there are three cases with responses for charanyamt for whom charany=0.</w:t>
      </w:r>
    </w:p>
    <w:p w14:paraId="3CAE7E43" w14:textId="77777777" w:rsidR="00D55BF1" w:rsidRDefault="00D55BF1" w:rsidP="00B8247A"/>
    <w:p w14:paraId="14AEA5F5" w14:textId="033BDE66" w:rsidR="00D55BF1" w:rsidRDefault="00D55BF1" w:rsidP="00B8247A">
      <w:r>
        <w:t>It is up to the analyst’s own interpretation as to how to account for the</w:t>
      </w:r>
      <w:r w:rsidR="00B23560">
        <w:t>se</w:t>
      </w:r>
      <w:r>
        <w:t xml:space="preserve"> </w:t>
      </w:r>
      <w:r w:rsidR="00B23560">
        <w:t>characteristics of the data set</w:t>
      </w:r>
      <w:r>
        <w:t>.</w:t>
      </w:r>
    </w:p>
    <w:p w14:paraId="33E1307B" w14:textId="77777777" w:rsidR="00D55BF1" w:rsidRDefault="00D55BF1" w:rsidP="00B8247A">
      <w:pPr>
        <w:rPr>
          <w:b/>
        </w:rPr>
      </w:pPr>
    </w:p>
    <w:p w14:paraId="691A403F" w14:textId="77777777" w:rsidR="00B8247A" w:rsidRDefault="00B8247A" w:rsidP="00B8247A">
      <w:pPr>
        <w:rPr>
          <w:b/>
        </w:rPr>
      </w:pPr>
      <w:r w:rsidRPr="00B8247A">
        <w:rPr>
          <w:b/>
        </w:rPr>
        <w:t>Definitions of Constructed Variables</w:t>
      </w:r>
      <w:r w:rsidR="00E83828">
        <w:rPr>
          <w:b/>
        </w:rPr>
        <w:t xml:space="preserve"> (x_ prefix)</w:t>
      </w:r>
    </w:p>
    <w:p w14:paraId="188B1E57" w14:textId="77777777" w:rsidR="003C37BE" w:rsidRDefault="003C37BE" w:rsidP="00B8247A">
      <w:pPr>
        <w:rPr>
          <w:b/>
        </w:rPr>
      </w:pPr>
    </w:p>
    <w:p w14:paraId="2C17C0AE" w14:textId="0D90824F" w:rsidR="003C37BE" w:rsidRPr="003C37BE" w:rsidRDefault="003C37BE" w:rsidP="00B8247A">
      <w:pPr>
        <w:rPr>
          <w:bCs/>
        </w:rPr>
      </w:pPr>
      <w:r w:rsidRPr="003C37BE">
        <w:rPr>
          <w:bCs/>
        </w:rPr>
        <w:t>Variables were constructed from raw data for two purposes:</w:t>
      </w:r>
    </w:p>
    <w:p w14:paraId="6E10977D" w14:textId="163173B7" w:rsidR="003C37BE" w:rsidRPr="003C37BE" w:rsidRDefault="003C37BE" w:rsidP="003C37BE">
      <w:pPr>
        <w:pStyle w:val="ListParagraph"/>
        <w:numPr>
          <w:ilvl w:val="0"/>
          <w:numId w:val="5"/>
        </w:numPr>
        <w:rPr>
          <w:bCs/>
        </w:rPr>
      </w:pPr>
      <w:r w:rsidRPr="003C37BE">
        <w:rPr>
          <w:bCs/>
        </w:rPr>
        <w:t>Standardized coding of open-ended data</w:t>
      </w:r>
    </w:p>
    <w:p w14:paraId="0230FB1E" w14:textId="3B2ADE5F" w:rsidR="003C37BE" w:rsidRPr="003C37BE" w:rsidRDefault="003C37BE" w:rsidP="003C37BE">
      <w:pPr>
        <w:pStyle w:val="ListParagraph"/>
        <w:numPr>
          <w:ilvl w:val="0"/>
          <w:numId w:val="5"/>
        </w:numPr>
        <w:rPr>
          <w:bCs/>
        </w:rPr>
      </w:pPr>
      <w:r w:rsidRPr="003C37BE">
        <w:rPr>
          <w:bCs/>
        </w:rPr>
        <w:t>Analytical variables created through complex combinations of multiple raw variables</w:t>
      </w:r>
      <w:r w:rsidRPr="003802CE">
        <w:rPr>
          <w:bCs/>
        </w:rPr>
        <w:t xml:space="preserve">. The syntax used to create </w:t>
      </w:r>
      <w:r w:rsidR="00D30B25">
        <w:rPr>
          <w:bCs/>
        </w:rPr>
        <w:t>complex</w:t>
      </w:r>
      <w:r w:rsidRPr="003802CE">
        <w:rPr>
          <w:bCs/>
        </w:rPr>
        <w:t xml:space="preserve"> variables will be included in the report appendix.</w:t>
      </w:r>
    </w:p>
    <w:p w14:paraId="2F1FA9E6" w14:textId="77777777" w:rsidR="00B8247A" w:rsidRDefault="00B8247A" w:rsidP="00B8247A"/>
    <w:p w14:paraId="6CC59D71" w14:textId="4508492B" w:rsidR="00B8247A" w:rsidRDefault="00923F3C" w:rsidP="00B8247A">
      <w:r>
        <w:t xml:space="preserve">x_region: Respondents </w:t>
      </w:r>
      <w:r w:rsidR="00CF2952">
        <w:t>supplied</w:t>
      </w:r>
      <w:r>
        <w:t xml:space="preserve"> the ZIP code of their primary residence in the Greater Boston area. To protect their identities, this variable groups ZIP codes into 11 regions that make up the Greater Boston area (detailed explanations of these regions can be found </w:t>
      </w:r>
      <w:r w:rsidR="00585473">
        <w:t>in Chapter 2</w:t>
      </w:r>
      <w:r>
        <w:t xml:space="preserve"> of the report</w:t>
      </w:r>
      <w:r w:rsidR="00EE63C2">
        <w:t>)</w:t>
      </w:r>
      <w:r>
        <w:t>.</w:t>
      </w:r>
      <w:r w:rsidR="0061481B">
        <w:t xml:space="preserve"> The regional categories are adapted from those used in the 2005 study. </w:t>
      </w:r>
    </w:p>
    <w:p w14:paraId="74529446" w14:textId="77777777" w:rsidR="0061481B" w:rsidRDefault="0061481B" w:rsidP="00B8247A"/>
    <w:p w14:paraId="1F0F28C2" w14:textId="72AF75E4" w:rsidR="0061481B" w:rsidRDefault="0061481B" w:rsidP="00B8247A">
      <w:r>
        <w:t>x_newregion: These are new regional categories as defined by Combined Jewish Philanthropies</w:t>
      </w:r>
      <w:r w:rsidR="00155A45">
        <w:t xml:space="preserve"> after the publication of the report</w:t>
      </w:r>
      <w:r>
        <w:t xml:space="preserve">. The </w:t>
      </w:r>
      <w:r w:rsidR="00E147EE">
        <w:t>detailed explanations of these regions</w:t>
      </w:r>
      <w:r>
        <w:t xml:space="preserve"> appear at the end of this document.</w:t>
      </w:r>
    </w:p>
    <w:p w14:paraId="7435DD6D" w14:textId="77777777" w:rsidR="00923F3C" w:rsidRDefault="00923F3C" w:rsidP="00B8247A"/>
    <w:p w14:paraId="517C95A8" w14:textId="0E1D3C11" w:rsidR="00923F3C" w:rsidRDefault="001D7D32" w:rsidP="00B8247A">
      <w:r>
        <w:t>x_hhchrelrsd1-9</w:t>
      </w:r>
      <w:r w:rsidR="00923F3C">
        <w:t xml:space="preserve">: </w:t>
      </w:r>
      <w:r w:rsidR="00E3215C">
        <w:t>In the original survey, after identifying the religion in which the first child is being raised, respondents were asked if all children are being raised in the same religion</w:t>
      </w:r>
      <w:r w:rsidR="00585473">
        <w:t xml:space="preserve"> (see variable hhchrelsame)</w:t>
      </w:r>
      <w:r w:rsidR="00E3215C">
        <w:t>. These variables fill in the responses for children 2-10 who have the same religion as child 1.</w:t>
      </w:r>
    </w:p>
    <w:p w14:paraId="0A16855E" w14:textId="77777777" w:rsidR="00E3215C" w:rsidRDefault="00E3215C" w:rsidP="00B8247A"/>
    <w:p w14:paraId="60C470B2" w14:textId="227B9709" w:rsidR="00AD651B" w:rsidRDefault="00923F3C" w:rsidP="00B8247A">
      <w:r>
        <w:t>x_pkc*</w:t>
      </w:r>
      <w:r w:rsidR="00E3215C">
        <w:t>; x_jec*</w:t>
      </w:r>
      <w:r>
        <w:t xml:space="preserve">: </w:t>
      </w:r>
      <w:r w:rsidR="00E3215C">
        <w:t xml:space="preserve">Separate, parallel questions were asked of households with one child and households with multiple children. Variables with the prefix x_pkc and x_jec contain the combined single- and multiple-child household data regarding children </w:t>
      </w:r>
      <w:r w:rsidR="00261D2B" w:rsidRPr="005F33AF">
        <w:t>in</w:t>
      </w:r>
      <w:r w:rsidR="00E3215C" w:rsidRPr="005F33AF">
        <w:t xml:space="preserve"> pre-kindergarten and K-12, respectively.</w:t>
      </w:r>
      <w:r w:rsidR="0040661A" w:rsidRPr="005F33AF">
        <w:t xml:space="preserve"> </w:t>
      </w:r>
      <w:r w:rsidR="005F33AF" w:rsidRPr="005F33AF">
        <w:t>Note that</w:t>
      </w:r>
      <w:r w:rsidR="0040661A" w:rsidRPr="005F33AF">
        <w:t xml:space="preserve"> </w:t>
      </w:r>
      <w:r w:rsidR="005F33AF" w:rsidRPr="005F33AF">
        <w:t>students in K-12 include 18 and 19 year olds who are currently enrolled in high school (see variables resphs and hhadhs</w:t>
      </w:r>
      <w:r w:rsidR="009358BF">
        <w:t>2</w:t>
      </w:r>
      <w:r w:rsidR="005F33AF" w:rsidRPr="005F33AF">
        <w:t>-9</w:t>
      </w:r>
      <w:r w:rsidR="0040661A" w:rsidRPr="005F33AF">
        <w:t>)</w:t>
      </w:r>
      <w:r w:rsidR="005F33AF" w:rsidRPr="005F33AF">
        <w:t>.</w:t>
      </w:r>
      <w:r w:rsidR="00551962">
        <w:t xml:space="preserve"> </w:t>
      </w:r>
      <w:r w:rsidR="00AD651B">
        <w:t xml:space="preserve">Note that </w:t>
      </w:r>
      <w:r w:rsidR="005977BB">
        <w:t>one method of calculating</w:t>
      </w:r>
      <w:r w:rsidR="00AD651B">
        <w:t xml:space="preserve"> household-level participation in types</w:t>
      </w:r>
      <w:r w:rsidR="005977BB">
        <w:t xml:space="preserve"> of Jewish education requires accounting for </w:t>
      </w:r>
      <w:r w:rsidR="00AD651B">
        <w:t xml:space="preserve">eligible children for whom x_pkc and x_jec </w:t>
      </w:r>
      <w:r w:rsidR="005977BB">
        <w:t>data are missing.</w:t>
      </w:r>
    </w:p>
    <w:p w14:paraId="6B243A79" w14:textId="77777777" w:rsidR="00AD651B" w:rsidRDefault="00AD651B" w:rsidP="00B8247A"/>
    <w:p w14:paraId="618EE9B5" w14:textId="77777777" w:rsidR="005B60C0" w:rsidRDefault="00551962" w:rsidP="00B8247A">
      <w:pPr>
        <w:rPr>
          <w:i/>
        </w:rPr>
      </w:pPr>
      <w:r w:rsidRPr="00AD651B">
        <w:rPr>
          <w:i/>
        </w:rPr>
        <w:t xml:space="preserve">Due to a programming error on the instrument, single-child households whose children were </w:t>
      </w:r>
      <w:r w:rsidR="001651ED" w:rsidRPr="00AD651B">
        <w:rPr>
          <w:i/>
        </w:rPr>
        <w:t xml:space="preserve">in </w:t>
      </w:r>
      <w:r w:rsidRPr="00AD651B">
        <w:rPr>
          <w:i/>
        </w:rPr>
        <w:t>K-8 were not asked if the child participated in a youth group, and so are coded as missing from x_jecygnow and x_jecygk8.</w:t>
      </w:r>
      <w:r w:rsidR="005B60C0">
        <w:rPr>
          <w:i/>
        </w:rPr>
        <w:t xml:space="preserve"> </w:t>
      </w:r>
    </w:p>
    <w:p w14:paraId="5A6018D0" w14:textId="77777777" w:rsidR="005B60C0" w:rsidRDefault="005B60C0" w:rsidP="00B8247A">
      <w:pPr>
        <w:rPr>
          <w:i/>
        </w:rPr>
      </w:pPr>
    </w:p>
    <w:p w14:paraId="4744D3CA" w14:textId="4CED4C6C" w:rsidR="005B60C0" w:rsidRPr="00AD651B" w:rsidRDefault="005B60C0" w:rsidP="00B8247A">
      <w:pPr>
        <w:rPr>
          <w:i/>
        </w:rPr>
      </w:pPr>
      <w:r>
        <w:rPr>
          <w:i/>
        </w:rPr>
        <w:t>Due to a programming error on the instrument, households with all children enrolled in part-time school were not asked if the children were enrolled in non-Jewish private schools</w:t>
      </w:r>
      <w:r w:rsidR="00531604">
        <w:rPr>
          <w:i/>
        </w:rPr>
        <w:t>, and so are coded as missing from x_jecprivnow, x_jecprivk8, and x_jecpriv912</w:t>
      </w:r>
      <w:r>
        <w:rPr>
          <w:i/>
        </w:rPr>
        <w:t xml:space="preserve">. </w:t>
      </w:r>
    </w:p>
    <w:p w14:paraId="26192AFF" w14:textId="77777777" w:rsidR="00E3215C" w:rsidRDefault="00E3215C" w:rsidP="00B8247A"/>
    <w:p w14:paraId="248BAEC2" w14:textId="3025DB04" w:rsidR="00923F3C" w:rsidRDefault="00923F3C" w:rsidP="00B8247A">
      <w:r>
        <w:t xml:space="preserve">x_rlsyntype1-5: </w:t>
      </w:r>
      <w:r w:rsidR="00205857">
        <w:t>A recoding of the up-to-five synagogues resp</w:t>
      </w:r>
      <w:r w:rsidR="00EF35BB">
        <w:t xml:space="preserve">ondents say they belong to (the names were removed from the data set to protect identities). </w:t>
      </w:r>
      <w:r w:rsidR="00205857">
        <w:t xml:space="preserve">Traditional, brick-and-mortar synagogues are </w:t>
      </w:r>
      <w:r w:rsidR="00585473">
        <w:t>separated</w:t>
      </w:r>
      <w:r w:rsidR="00205857">
        <w:t xml:space="preserve"> by denomination, while independent </w:t>
      </w:r>
      <w:r w:rsidR="00205857" w:rsidRPr="00585473">
        <w:rPr>
          <w:i/>
        </w:rPr>
        <w:t>minyan</w:t>
      </w:r>
      <w:r w:rsidR="00585473" w:rsidRPr="00585473">
        <w:rPr>
          <w:i/>
        </w:rPr>
        <w:t>im</w:t>
      </w:r>
      <w:r w:rsidR="00205857">
        <w:t xml:space="preserve">, </w:t>
      </w:r>
      <w:r w:rsidR="00205857" w:rsidRPr="00585473">
        <w:rPr>
          <w:i/>
        </w:rPr>
        <w:t>havur</w:t>
      </w:r>
      <w:r w:rsidR="00585473" w:rsidRPr="00585473">
        <w:rPr>
          <w:i/>
        </w:rPr>
        <w:t>ot</w:t>
      </w:r>
      <w:r w:rsidR="00205857">
        <w:t>, and Chabad are listed separately</w:t>
      </w:r>
      <w:r w:rsidR="00585473">
        <w:t>, regardless of denomination</w:t>
      </w:r>
      <w:r w:rsidR="00205857">
        <w:t>.</w:t>
      </w:r>
    </w:p>
    <w:p w14:paraId="7F8A1AA8" w14:textId="77777777" w:rsidR="00205857" w:rsidRDefault="00205857" w:rsidP="00B8247A"/>
    <w:p w14:paraId="1DBC1C40" w14:textId="36D321AE" w:rsidR="00923F3C" w:rsidRDefault="00923F3C" w:rsidP="00B8247A">
      <w:r>
        <w:t xml:space="preserve">x_hhsize: </w:t>
      </w:r>
      <w:r w:rsidR="00205857">
        <w:t>This variable combines the number of adults</w:t>
      </w:r>
      <w:r w:rsidR="00EE63C2">
        <w:t xml:space="preserve"> (hhadct)</w:t>
      </w:r>
      <w:r w:rsidR="00205857">
        <w:t xml:space="preserve"> and children</w:t>
      </w:r>
      <w:r w:rsidR="00EE63C2">
        <w:t xml:space="preserve"> (hhchct)</w:t>
      </w:r>
      <w:r w:rsidR="00205857">
        <w:t xml:space="preserve"> in the household.</w:t>
      </w:r>
    </w:p>
    <w:p w14:paraId="702D8E26" w14:textId="77777777" w:rsidR="00205857" w:rsidRDefault="00205857" w:rsidP="00B8247A"/>
    <w:p w14:paraId="54947992" w14:textId="2564A67E" w:rsidR="00923F3C" w:rsidRDefault="00923F3C" w:rsidP="00B8247A">
      <w:r>
        <w:t>x_respjewtype</w:t>
      </w:r>
      <w:r w:rsidR="00205857">
        <w:t>, x_hhadjewtype2-9</w:t>
      </w:r>
      <w:r>
        <w:t xml:space="preserve">: </w:t>
      </w:r>
      <w:r w:rsidR="00205857">
        <w:t xml:space="preserve">These variables denote the “type of Jew” corresponding to the respondent or the household adults. Jews by Religion (JBR) are those who say their religion is Jewish and have a Jewish background (i.e., a Jewish parent, was raised Jewish, or converted). Jews of No Religion (JNR) are </w:t>
      </w:r>
      <w:r w:rsidR="00A44FDF">
        <w:t xml:space="preserve">atheists and agnostics who </w:t>
      </w:r>
      <w:r w:rsidR="00205857">
        <w:t>consider themselves Jewish aside from religion and have a Jewish background</w:t>
      </w:r>
      <w:r w:rsidR="00A44FDF">
        <w:t>, or say they are Jewish and atheist/agnostic, and have a Jewish background</w:t>
      </w:r>
      <w:r w:rsidR="00205857">
        <w:t xml:space="preserve">. Jews of Multiple Religions (JMR) </w:t>
      </w:r>
      <w:r w:rsidR="00A44FDF">
        <w:t xml:space="preserve">either </w:t>
      </w:r>
      <w:r w:rsidR="00205857">
        <w:t xml:space="preserve">say they have two religions, one of which is Judaism, </w:t>
      </w:r>
      <w:r w:rsidR="00A44FDF">
        <w:t>and</w:t>
      </w:r>
      <w:r w:rsidR="00205857">
        <w:t xml:space="preserve"> have a Jewish background</w:t>
      </w:r>
      <w:r w:rsidR="00A44FDF">
        <w:t>, or have another religion but consider themselves Jewish aside from religion, and have a Jewish background</w:t>
      </w:r>
      <w:r w:rsidR="00205857">
        <w:t>. Jewish Background (</w:t>
      </w:r>
      <w:r w:rsidR="00A44FDF">
        <w:t>JB) say they have a religion other than Judaism, do not consider themselves Jewish aside from religion, but have a Jewish background. Jewish Affinity (JA) consider themselves Jewish either by religion or not by religion, but do not have a Jewish background. Non-Jews (NJ) have a religion other than Judaism, do not consider themselves Jewish in any way, and do not have a Jewish background.</w:t>
      </w:r>
      <w:r w:rsidR="006A077A">
        <w:t xml:space="preserve"> Messianic Jews with a Jewish background were categorized as JB, and those without a Jewish background were categorized as NJ.</w:t>
      </w:r>
    </w:p>
    <w:p w14:paraId="5EB60848" w14:textId="77777777" w:rsidR="00205857" w:rsidRDefault="00205857" w:rsidP="00B8247A"/>
    <w:p w14:paraId="6F46CEC1" w14:textId="66F40262" w:rsidR="00923F3C" w:rsidRDefault="00923F3C" w:rsidP="00B8247A">
      <w:r>
        <w:t xml:space="preserve">x_hhchjew1-9: </w:t>
      </w:r>
      <w:r w:rsidR="001D7D32">
        <w:t>Children are counted as Jews if they are being raised Jewish by religion, culturally Jewish, or Jewish and another religion</w:t>
      </w:r>
      <w:r w:rsidR="00585473">
        <w:t xml:space="preserve"> (corresponding to the variables x_hhchrelrsd1-9)</w:t>
      </w:r>
      <w:r w:rsidR="001D7D32">
        <w:t>.</w:t>
      </w:r>
    </w:p>
    <w:p w14:paraId="0868A5D9" w14:textId="77777777" w:rsidR="00205857" w:rsidRDefault="00205857" w:rsidP="00B8247A"/>
    <w:p w14:paraId="0A76C4F1" w14:textId="2F60A4F3" w:rsidR="00923F3C" w:rsidRDefault="00923F3C" w:rsidP="00B8247A">
      <w:r>
        <w:t xml:space="preserve">x_spjewtype: </w:t>
      </w:r>
      <w:r w:rsidR="001D7D32">
        <w:t>This is the “</w:t>
      </w:r>
      <w:r w:rsidR="00447D27">
        <w:t>type of Jew</w:t>
      </w:r>
      <w:r w:rsidR="001D7D32">
        <w:t>” of the respondent’s live-in spouse, fiancé/e, or significant other.</w:t>
      </w:r>
    </w:p>
    <w:p w14:paraId="31AF3AB1" w14:textId="77777777" w:rsidR="00205857" w:rsidRDefault="00205857" w:rsidP="00B8247A"/>
    <w:p w14:paraId="2732F567" w14:textId="68FD3D11" w:rsidR="001D7D32" w:rsidRDefault="00923F3C" w:rsidP="001D7D32">
      <w:r>
        <w:t xml:space="preserve">x_spjewish: </w:t>
      </w:r>
      <w:r w:rsidR="001D7D32">
        <w:t>This notes if the respondent’s live-in spouse, fiancé/e, or significant other is Jewish (i.e., JBR, JNR, or JMR).</w:t>
      </w:r>
    </w:p>
    <w:p w14:paraId="2A6B6F5E" w14:textId="77777777" w:rsidR="00205857" w:rsidRDefault="00205857" w:rsidP="00B8247A"/>
    <w:p w14:paraId="5D9E2562" w14:textId="6D76DB5D" w:rsidR="00923F3C" w:rsidRDefault="00923F3C" w:rsidP="00B8247A">
      <w:r>
        <w:t xml:space="preserve">x_martypehh: </w:t>
      </w:r>
      <w:r w:rsidR="001D7D32">
        <w:t>This notes if the household contains an inmarried or intermarried couple, or no couple</w:t>
      </w:r>
      <w:r w:rsidR="00C35004">
        <w:t xml:space="preserve"> (whether or not the respondent is part of the married couple)</w:t>
      </w:r>
      <w:r w:rsidR="001D7D32">
        <w:t>.</w:t>
      </w:r>
    </w:p>
    <w:p w14:paraId="769C4588" w14:textId="77777777" w:rsidR="00205857" w:rsidRDefault="00205857" w:rsidP="00B8247A"/>
    <w:p w14:paraId="170D1A10" w14:textId="06F02C94" w:rsidR="00923F3C" w:rsidRDefault="00923F3C" w:rsidP="00B8247A">
      <w:r>
        <w:t xml:space="preserve">x_martyperesp: </w:t>
      </w:r>
      <w:r w:rsidR="001D7D32">
        <w:t>This notes if the respondent is inmarried, intermarried, or unmarried.</w:t>
      </w:r>
    </w:p>
    <w:p w14:paraId="6424712F" w14:textId="77777777" w:rsidR="00205857" w:rsidRDefault="00205857" w:rsidP="00B8247A"/>
    <w:p w14:paraId="6CAD9C25" w14:textId="22C5B6E0" w:rsidR="00923F3C" w:rsidRDefault="001D7D32" w:rsidP="00B8247A">
      <w:r>
        <w:t>x_jengage: This is the pattern of engagement of the respondent (see Chapter 3 of the report).</w:t>
      </w:r>
    </w:p>
    <w:p w14:paraId="6516FECD" w14:textId="77777777" w:rsidR="00205857" w:rsidRDefault="00205857" w:rsidP="00B8247A"/>
    <w:p w14:paraId="5B4C2A74" w14:textId="6502D893" w:rsidR="00923F3C" w:rsidRDefault="00923F3C" w:rsidP="00B8247A">
      <w:r>
        <w:t xml:space="preserve">x_isrhh: </w:t>
      </w:r>
      <w:r w:rsidR="001D7D32">
        <w:t xml:space="preserve">This notes if there is an Israeli in the household. Israelis </w:t>
      </w:r>
      <w:r w:rsidR="00D35367">
        <w:t>were</w:t>
      </w:r>
      <w:r w:rsidR="001D7D32">
        <w:t xml:space="preserve"> either born or raised in Israel, consider themselves Israeli in any way, or ha</w:t>
      </w:r>
      <w:r w:rsidR="00314607">
        <w:t>ve</w:t>
      </w:r>
      <w:r w:rsidR="001D7D32">
        <w:t xml:space="preserve"> Israeli citizenship.</w:t>
      </w:r>
    </w:p>
    <w:p w14:paraId="3E39D970" w14:textId="77777777" w:rsidR="00205857" w:rsidRDefault="00205857" w:rsidP="00B8247A"/>
    <w:p w14:paraId="14059D74" w14:textId="57ACE86E" w:rsidR="00923F3C" w:rsidRDefault="001D7D32" w:rsidP="00B8247A">
      <w:r>
        <w:t xml:space="preserve">x_isrresp: This notes if the respondent is Israeli. Israelis </w:t>
      </w:r>
      <w:r w:rsidR="00D35367">
        <w:t>were</w:t>
      </w:r>
      <w:r>
        <w:t xml:space="preserve"> either born or raised in Israel, consider themselves Israeli in any way, or ha</w:t>
      </w:r>
      <w:r w:rsidR="00314607">
        <w:t>ve</w:t>
      </w:r>
      <w:r>
        <w:t xml:space="preserve"> Israeli citizenship.</w:t>
      </w:r>
    </w:p>
    <w:p w14:paraId="4C5764CB" w14:textId="77777777" w:rsidR="00205857" w:rsidRDefault="00205857" w:rsidP="00B8247A"/>
    <w:p w14:paraId="3676218A" w14:textId="14DAB43D" w:rsidR="00923F3C" w:rsidRDefault="00923F3C" w:rsidP="00B8247A">
      <w:r>
        <w:t xml:space="preserve">x_rushh: </w:t>
      </w:r>
      <w:r w:rsidR="001D7D32">
        <w:t xml:space="preserve">This notes if there is a Russian speaker in the household. Russian speakers </w:t>
      </w:r>
      <w:r w:rsidR="00D35367">
        <w:t>were</w:t>
      </w:r>
      <w:r w:rsidR="001D7D32">
        <w:t xml:space="preserve"> </w:t>
      </w:r>
      <w:r w:rsidR="00314607">
        <w:t>either born or raised in Russia/</w:t>
      </w:r>
      <w:r w:rsidR="001D7D32">
        <w:t xml:space="preserve">the Former Soviet Union, </w:t>
      </w:r>
      <w:r w:rsidR="00D35367">
        <w:t>were raised in a Russian-speakin</w:t>
      </w:r>
      <w:r w:rsidR="00314607">
        <w:t>g household, or currently speak</w:t>
      </w:r>
      <w:r w:rsidR="00D35367">
        <w:t xml:space="preserve"> Russian in the</w:t>
      </w:r>
      <w:r w:rsidR="00314607">
        <w:t>ir</w:t>
      </w:r>
      <w:r w:rsidR="00D35367">
        <w:t xml:space="preserve"> household</w:t>
      </w:r>
      <w:r w:rsidR="001D7D32">
        <w:t>.</w:t>
      </w:r>
    </w:p>
    <w:p w14:paraId="4FC2A80C" w14:textId="77777777" w:rsidR="00205857" w:rsidRDefault="00205857" w:rsidP="00B8247A"/>
    <w:p w14:paraId="6CF18006" w14:textId="3B1E4F73" w:rsidR="00923F3C" w:rsidRDefault="00923F3C" w:rsidP="00B8247A">
      <w:r>
        <w:t xml:space="preserve">x_rusresp: </w:t>
      </w:r>
      <w:r w:rsidR="00D35367">
        <w:t xml:space="preserve">This notes if the respondent is a Russian speaker. Russian speakers were </w:t>
      </w:r>
      <w:r w:rsidR="00314607">
        <w:t>either born or raised in Russia/</w:t>
      </w:r>
      <w:r w:rsidR="00D35367">
        <w:t>the Former Soviet Union, were raised in a Russian-speakin</w:t>
      </w:r>
      <w:r w:rsidR="00314607">
        <w:t>g household, or currently speak</w:t>
      </w:r>
      <w:r w:rsidR="00D35367">
        <w:t xml:space="preserve"> Russian in the</w:t>
      </w:r>
      <w:r w:rsidR="00314607">
        <w:t>ir</w:t>
      </w:r>
      <w:r w:rsidR="00D35367">
        <w:t xml:space="preserve"> household.</w:t>
      </w:r>
    </w:p>
    <w:p w14:paraId="79B5A833" w14:textId="77777777" w:rsidR="00205857" w:rsidRDefault="00205857" w:rsidP="00B8247A"/>
    <w:p w14:paraId="07C95EAB" w14:textId="2D0E4EBD" w:rsidR="00923F3C" w:rsidRDefault="00923F3C" w:rsidP="00B8247A">
      <w:r>
        <w:t xml:space="preserve">x_glbtqhh: </w:t>
      </w:r>
      <w:r w:rsidR="00D35367">
        <w:t xml:space="preserve">This notes if there is a GLBTQ individual in the household. </w:t>
      </w:r>
      <w:r w:rsidR="00EE63C2">
        <w:t>In addition to a survey question about the presence of gay, lesbian, or bisexual individuals in the household, open-ended responses that indicated identification as neither male nor female were used to place people into this category.</w:t>
      </w:r>
    </w:p>
    <w:p w14:paraId="4902B68C" w14:textId="77777777" w:rsidR="00205857" w:rsidRDefault="00205857" w:rsidP="00B8247A"/>
    <w:p w14:paraId="53417C98" w14:textId="5604934D" w:rsidR="00923F3C" w:rsidRDefault="00923F3C" w:rsidP="00B8247A">
      <w:r>
        <w:t xml:space="preserve">x_glbtqresp: </w:t>
      </w:r>
      <w:r w:rsidR="00D35367">
        <w:t>This notes if the respondent is GLBTQ.</w:t>
      </w:r>
      <w:r w:rsidR="00EE63C2" w:rsidRPr="00EE63C2">
        <w:t xml:space="preserve"> </w:t>
      </w:r>
      <w:r w:rsidR="00EE63C2">
        <w:t>In addition to a survey question about whether the respondent was gay, lesbian, or bisexual, open-ended responses that indicated an identification as neither male nor female were used to place people into this category.</w:t>
      </w:r>
    </w:p>
    <w:p w14:paraId="30D02EF6" w14:textId="77777777" w:rsidR="00EE63C2" w:rsidRDefault="00EE63C2" w:rsidP="00B8247A">
      <w:pPr>
        <w:rPr>
          <w:b/>
        </w:rPr>
      </w:pPr>
    </w:p>
    <w:p w14:paraId="59ED29FA" w14:textId="7A704431" w:rsidR="00E83828" w:rsidRPr="000C073B" w:rsidRDefault="00E83828" w:rsidP="00B8247A">
      <w:pPr>
        <w:rPr>
          <w:b/>
        </w:rPr>
      </w:pPr>
      <w:r w:rsidRPr="000C073B">
        <w:rPr>
          <w:b/>
        </w:rPr>
        <w:t>Constructed variables for analysis</w:t>
      </w:r>
    </w:p>
    <w:p w14:paraId="0821E2D1" w14:textId="77777777" w:rsidR="00205857" w:rsidRDefault="00205857" w:rsidP="00B8247A"/>
    <w:p w14:paraId="1255AF15" w14:textId="0AEFCF39" w:rsidR="00B8247A" w:rsidRDefault="002A226D" w:rsidP="00B8247A">
      <w:r>
        <w:t>x_</w:t>
      </w:r>
      <w:r w:rsidR="00D35367">
        <w:t>hhjewish: Jewish households contain at le</w:t>
      </w:r>
      <w:r w:rsidR="001F2231">
        <w:t>ast one JBR, JNR, or JMR adult. There are 47 households that screened into the survey but</w:t>
      </w:r>
      <w:r w:rsidR="00D61EEA">
        <w:t xml:space="preserve"> </w:t>
      </w:r>
      <w:r w:rsidR="001F2231">
        <w:t>do not contain any Jewish adults or children.</w:t>
      </w:r>
      <w:r w:rsidR="002C43D0">
        <w:t xml:space="preserve"> These households includ</w:t>
      </w:r>
      <w:r w:rsidR="0049688A">
        <w:t>e</w:t>
      </w:r>
      <w:r w:rsidR="002C43D0">
        <w:t xml:space="preserve"> at least one person of Jewish Background or Jewish Affinity.</w:t>
      </w:r>
    </w:p>
    <w:p w14:paraId="17072A1E" w14:textId="77777777" w:rsidR="00205857" w:rsidRDefault="00205857" w:rsidP="00B8247A"/>
    <w:p w14:paraId="5A91F8A5" w14:textId="2CED6A28" w:rsidR="00E83828" w:rsidRDefault="002A226D" w:rsidP="00B8247A">
      <w:r>
        <w:t>x_</w:t>
      </w:r>
      <w:r w:rsidR="00923F3C">
        <w:t xml:space="preserve">respjewish: </w:t>
      </w:r>
      <w:r w:rsidR="00D35367">
        <w:t xml:space="preserve">Jewish respondents are JBR, JNR, or JMR. </w:t>
      </w:r>
    </w:p>
    <w:p w14:paraId="74512995" w14:textId="77777777" w:rsidR="00E83828" w:rsidRDefault="00E83828" w:rsidP="00B8247A"/>
    <w:p w14:paraId="24863D90" w14:textId="77777777" w:rsidR="00B8247A" w:rsidRDefault="00B8247A" w:rsidP="00B8247A"/>
    <w:p w14:paraId="49D4B1B1" w14:textId="77777777" w:rsidR="00D35367" w:rsidRDefault="00D35367">
      <w:r>
        <w:br w:type="page"/>
      </w:r>
    </w:p>
    <w:p w14:paraId="3B316506" w14:textId="34AD484C" w:rsidR="00800AD5" w:rsidRDefault="00B8247A" w:rsidP="00B8247A">
      <w:pPr>
        <w:rPr>
          <w:b/>
        </w:rPr>
      </w:pPr>
      <w:r w:rsidRPr="00B8247A">
        <w:rPr>
          <w:b/>
        </w:rPr>
        <w:lastRenderedPageBreak/>
        <w:t xml:space="preserve">Weighting </w:t>
      </w:r>
    </w:p>
    <w:p w14:paraId="42704652" w14:textId="05578E03" w:rsidR="00800AD5" w:rsidRDefault="00800AD5" w:rsidP="00B8247A">
      <w:r w:rsidRPr="000C073B">
        <w:t>F</w:t>
      </w:r>
      <w:r>
        <w:t xml:space="preserve">our weight variables are available for this dataset. </w:t>
      </w:r>
      <w:r w:rsidR="00E425BD">
        <w:t>Two are at the household level (</w:t>
      </w:r>
      <w:r w:rsidR="002A226D">
        <w:t>x_</w:t>
      </w:r>
      <w:r w:rsidR="00E425BD">
        <w:t xml:space="preserve">wthh and </w:t>
      </w:r>
      <w:r w:rsidR="002A226D">
        <w:t>x_</w:t>
      </w:r>
      <w:r w:rsidR="00E425BD">
        <w:t>wthhf), and two are at the respondent level (</w:t>
      </w:r>
      <w:r w:rsidR="002A226D">
        <w:t>x_</w:t>
      </w:r>
      <w:r w:rsidR="00E425BD">
        <w:t xml:space="preserve">wtresp and </w:t>
      </w:r>
      <w:r w:rsidR="002A226D">
        <w:t>x_</w:t>
      </w:r>
      <w:r w:rsidR="00E425BD">
        <w:t xml:space="preserve">wtrespf). Household-level weights should be used to calculate characteristics of the household, population counts, and anything involving children. Respondent-level weights should be used to calculate characteristics of respondents (e.g., behaviors and attitudes). </w:t>
      </w:r>
    </w:p>
    <w:p w14:paraId="62B109A4" w14:textId="77777777" w:rsidR="00E425BD" w:rsidRDefault="00E425BD" w:rsidP="00B8247A"/>
    <w:p w14:paraId="6F712E8E" w14:textId="3D546FC3" w:rsidR="00E425BD" w:rsidRPr="000C073B" w:rsidRDefault="00E425BD" w:rsidP="00B8247A">
      <w:r>
        <w:t>The weight variables are also segmented by whether they refer to the primary sample (</w:t>
      </w:r>
      <w:r w:rsidR="002A226D">
        <w:t>x_</w:t>
      </w:r>
      <w:r>
        <w:t xml:space="preserve">wthh and </w:t>
      </w:r>
      <w:r w:rsidR="002A226D">
        <w:t>x_</w:t>
      </w:r>
      <w:r>
        <w:t>wtresp) or the full sample (</w:t>
      </w:r>
      <w:r w:rsidR="002A226D">
        <w:t>x_</w:t>
      </w:r>
      <w:r>
        <w:t xml:space="preserve">wthhf and </w:t>
      </w:r>
      <w:r w:rsidR="002A226D">
        <w:t>x_</w:t>
      </w:r>
      <w:r>
        <w:t>wtrespf). Primary weights are the only ones appropriate for generating counts or characteristics of the overall population. The full-sample weights are appropriate only for generating characteristics of subpopulations.</w:t>
      </w:r>
    </w:p>
    <w:p w14:paraId="43FCA74A" w14:textId="77777777" w:rsidR="00B8247A" w:rsidRDefault="00B8247A" w:rsidP="00B8247A"/>
    <w:p w14:paraId="54F1AC06" w14:textId="55FC8C8D" w:rsidR="00713299" w:rsidRDefault="00713299" w:rsidP="00B8247A">
      <w:r>
        <w:t>Note: The public-use dataset includes all screener data, but households that screened out of the survey have all their weights set at 0.</w:t>
      </w:r>
      <w:r w:rsidR="00AD302D">
        <w:t xml:space="preserve"> Weighting instructions are designed for use with Stata.</w:t>
      </w:r>
    </w:p>
    <w:p w14:paraId="3755F8E5" w14:textId="77777777" w:rsidR="003C37BE" w:rsidRDefault="003C37BE" w:rsidP="00B8247A"/>
    <w:p w14:paraId="6E6F5879" w14:textId="77777777" w:rsidR="003C37BE" w:rsidRPr="000B0563" w:rsidRDefault="003C37BE" w:rsidP="003C37BE">
      <w:pPr>
        <w:rPr>
          <w:b/>
        </w:rPr>
      </w:pPr>
      <w:r w:rsidRPr="000B0563">
        <w:rPr>
          <w:b/>
        </w:rPr>
        <w:t xml:space="preserve">Constructed variables for </w:t>
      </w:r>
      <w:r>
        <w:rPr>
          <w:b/>
        </w:rPr>
        <w:t>weighting</w:t>
      </w:r>
    </w:p>
    <w:p w14:paraId="40A203AE" w14:textId="77777777" w:rsidR="003C37BE" w:rsidRDefault="003C37BE" w:rsidP="003C37BE">
      <w:r w:rsidDel="00E83828">
        <w:t xml:space="preserve"> </w:t>
      </w:r>
    </w:p>
    <w:p w14:paraId="22740F71" w14:textId="6C282D95" w:rsidR="003C37BE" w:rsidRDefault="002A226D" w:rsidP="003C37BE">
      <w:r>
        <w:t>x_</w:t>
      </w:r>
      <w:r w:rsidR="003C37BE">
        <w:t>s</w:t>
      </w:r>
      <w:r w:rsidR="00447D27">
        <w:t>tratagrp: The strata identified</w:t>
      </w:r>
      <w:r w:rsidR="003C37BE">
        <w:t xml:space="preserve"> is used for weighting.</w:t>
      </w:r>
    </w:p>
    <w:p w14:paraId="598124BC" w14:textId="77777777" w:rsidR="003C37BE" w:rsidRDefault="003C37BE" w:rsidP="003C37BE"/>
    <w:p w14:paraId="4A6B3376" w14:textId="5C69A337" w:rsidR="003C37BE" w:rsidRDefault="002A226D" w:rsidP="003C37BE">
      <w:r>
        <w:t>x_</w:t>
      </w:r>
      <w:r w:rsidR="003C37BE">
        <w:t>wthh: The primary-sample household weight.</w:t>
      </w:r>
    </w:p>
    <w:p w14:paraId="0DA216AE" w14:textId="77777777" w:rsidR="003C37BE" w:rsidRDefault="003C37BE" w:rsidP="003C37BE"/>
    <w:p w14:paraId="1E4CB867" w14:textId="5BA75902" w:rsidR="003C37BE" w:rsidRDefault="002A226D" w:rsidP="003C37BE">
      <w:r>
        <w:t>x_</w:t>
      </w:r>
      <w:r w:rsidR="003C37BE">
        <w:t>wthhf: The full-sample household weight.</w:t>
      </w:r>
    </w:p>
    <w:p w14:paraId="004AFAD3" w14:textId="77777777" w:rsidR="003C37BE" w:rsidRDefault="003C37BE" w:rsidP="003C37BE"/>
    <w:p w14:paraId="578514FE" w14:textId="3E0E8E5F" w:rsidR="003C37BE" w:rsidRDefault="002A226D" w:rsidP="003C37BE">
      <w:r>
        <w:t>x_</w:t>
      </w:r>
      <w:r w:rsidR="003C37BE">
        <w:t>wtresp: The primary-sample respondent/individual weight.</w:t>
      </w:r>
    </w:p>
    <w:p w14:paraId="278331CA" w14:textId="77777777" w:rsidR="003C37BE" w:rsidRDefault="003C37BE" w:rsidP="003C37BE"/>
    <w:p w14:paraId="783A44D3" w14:textId="69C154A8" w:rsidR="003C37BE" w:rsidRDefault="002A226D" w:rsidP="00B8247A">
      <w:r>
        <w:t>x_</w:t>
      </w:r>
      <w:r w:rsidR="003C37BE">
        <w:t>wtrespf: The full-sample respondent/individual weight.</w:t>
      </w:r>
    </w:p>
    <w:p w14:paraId="78D9C3BC" w14:textId="77777777" w:rsidR="00713299" w:rsidRDefault="00713299" w:rsidP="00713299">
      <w:pPr>
        <w:tabs>
          <w:tab w:val="left" w:pos="1720"/>
        </w:tabs>
      </w:pPr>
    </w:p>
    <w:p w14:paraId="5536F9D5" w14:textId="391B4801" w:rsidR="00713299" w:rsidRPr="00713299" w:rsidRDefault="00713299" w:rsidP="00713299">
      <w:pPr>
        <w:tabs>
          <w:tab w:val="left" w:pos="1720"/>
        </w:tabs>
      </w:pPr>
      <w:r>
        <w:rPr>
          <w:u w:val="single"/>
        </w:rPr>
        <w:t>Primary Weights</w:t>
      </w:r>
    </w:p>
    <w:p w14:paraId="56614948" w14:textId="10E69473" w:rsidR="00713299" w:rsidRDefault="00713299" w:rsidP="00713299">
      <w:pPr>
        <w:tabs>
          <w:tab w:val="left" w:pos="1720"/>
        </w:tabs>
      </w:pPr>
      <w:r>
        <w:tab/>
      </w:r>
    </w:p>
    <w:p w14:paraId="4EAA8DEF" w14:textId="77777777" w:rsidR="00B8247A" w:rsidRPr="00B8247A" w:rsidRDefault="00B8247A" w:rsidP="00B8247A">
      <w:pPr>
        <w:rPr>
          <w:i/>
        </w:rPr>
      </w:pPr>
      <w:r w:rsidRPr="00B8247A">
        <w:rPr>
          <w:i/>
        </w:rPr>
        <w:t>Use ONLY the primary sample for generating population counts</w:t>
      </w:r>
    </w:p>
    <w:p w14:paraId="0013F1AE" w14:textId="77777777" w:rsidR="00B8247A" w:rsidRDefault="00B8247A" w:rsidP="00B8247A"/>
    <w:p w14:paraId="09EC1EC4" w14:textId="59839E52" w:rsidR="00E425BD" w:rsidRDefault="00B8247A" w:rsidP="00E425BD">
      <w:r>
        <w:t>For househo</w:t>
      </w:r>
      <w:r w:rsidR="00817166">
        <w:t xml:space="preserve">ld estimates—estimations on the number </w:t>
      </w:r>
      <w:r>
        <w:t>of households</w:t>
      </w:r>
      <w:r w:rsidR="00817166">
        <w:t>—</w:t>
      </w:r>
      <w:r w:rsidR="00923F3C">
        <w:t>u</w:t>
      </w:r>
      <w:r>
        <w:t>se wthh to estima</w:t>
      </w:r>
      <w:r w:rsidR="00E425BD">
        <w:t xml:space="preserve">te the percentage of households. For estimations on </w:t>
      </w:r>
      <w:r w:rsidR="00817166">
        <w:t xml:space="preserve">the </w:t>
      </w:r>
      <w:r w:rsidR="00E425BD">
        <w:t xml:space="preserve">number of </w:t>
      </w:r>
      <w:r w:rsidR="00817166">
        <w:t>people</w:t>
      </w:r>
      <w:r w:rsidR="00E425BD">
        <w:t>—i.e., counts—use the household weights</w:t>
      </w:r>
      <w:r w:rsidR="00817166">
        <w:t xml:space="preserve"> </w:t>
      </w:r>
      <w:r w:rsidR="00E425BD">
        <w:t>with totals of count variables—e.g., hhadct, hhchct.</w:t>
      </w:r>
    </w:p>
    <w:p w14:paraId="4FCC28E8" w14:textId="77777777" w:rsidR="00B8247A" w:rsidRDefault="00B8247A" w:rsidP="00B8247A"/>
    <w:p w14:paraId="664A217E" w14:textId="659891C0" w:rsidR="00B8247A" w:rsidRDefault="00B8247A" w:rsidP="00B8247A">
      <w:r>
        <w:t>svyset _n [pweight=</w:t>
      </w:r>
      <w:r w:rsidR="002A226D" w:rsidRPr="002A226D">
        <w:t xml:space="preserve"> </w:t>
      </w:r>
      <w:r w:rsidR="002A226D">
        <w:t>x_</w:t>
      </w:r>
      <w:r>
        <w:t>wthh], strata(</w:t>
      </w:r>
      <w:r w:rsidR="002A226D">
        <w:t>x_</w:t>
      </w:r>
      <w:r>
        <w:t>stratagrp) vce(linearized) singleunit(missing)</w:t>
      </w:r>
    </w:p>
    <w:p w14:paraId="53BF2A63" w14:textId="77777777" w:rsidR="00B8247A" w:rsidRDefault="00B8247A" w:rsidP="00B8247A"/>
    <w:p w14:paraId="67CA0702" w14:textId="2E67D952" w:rsidR="00B8247A" w:rsidRDefault="00B8247A" w:rsidP="00B8247A">
      <w:r>
        <w:t>Use the respondent weights for questions asked only of respondents</w:t>
      </w:r>
      <w:r w:rsidR="00923F3C">
        <w:t xml:space="preserve">. </w:t>
      </w:r>
      <w:r>
        <w:t>Use wtresp to estimate percentage of adults (including respondent and non</w:t>
      </w:r>
      <w:r w:rsidR="00817166">
        <w:t>-</w:t>
      </w:r>
      <w:r>
        <w:t>respondent adults):</w:t>
      </w:r>
    </w:p>
    <w:p w14:paraId="4C7BB8E8" w14:textId="77777777" w:rsidR="00B8247A" w:rsidRDefault="00B8247A" w:rsidP="00B8247A"/>
    <w:p w14:paraId="41718CAD" w14:textId="2AA6D4A6" w:rsidR="00B8247A" w:rsidRDefault="00B8247A" w:rsidP="00B8247A">
      <w:r>
        <w:t>svyset _n [pweight=</w:t>
      </w:r>
      <w:r w:rsidR="002A226D">
        <w:t>x_</w:t>
      </w:r>
      <w:r>
        <w:t>wtresp], strata(</w:t>
      </w:r>
      <w:r w:rsidR="002A226D">
        <w:t>x_</w:t>
      </w:r>
      <w:r>
        <w:t>stratagrp) vce(linearized) singleunit(missing)</w:t>
      </w:r>
    </w:p>
    <w:p w14:paraId="3C2E8E02" w14:textId="77777777" w:rsidR="00B8247A" w:rsidRDefault="00B8247A" w:rsidP="00B8247A"/>
    <w:p w14:paraId="610AAF4D" w14:textId="77777777" w:rsidR="00B8247A" w:rsidRDefault="00B8247A" w:rsidP="00B8247A">
      <w:r>
        <w:t>Primary weights should be used for generating characteristics of the population as a whole, including counts and subgroups</w:t>
      </w:r>
      <w:r w:rsidR="00923F3C">
        <w:t>.</w:t>
      </w:r>
    </w:p>
    <w:p w14:paraId="71F40F3C" w14:textId="77777777" w:rsidR="00B8247A" w:rsidRDefault="00B8247A" w:rsidP="00B8247A"/>
    <w:p w14:paraId="34BE20CC" w14:textId="65F1BAD1" w:rsidR="00713299" w:rsidRPr="000C073B" w:rsidRDefault="00713299" w:rsidP="00713299">
      <w:pPr>
        <w:rPr>
          <w:i/>
        </w:rPr>
      </w:pPr>
      <w:r>
        <w:rPr>
          <w:i/>
        </w:rPr>
        <w:t xml:space="preserve">Example: </w:t>
      </w:r>
      <w:r w:rsidRPr="000C073B">
        <w:rPr>
          <w:i/>
        </w:rPr>
        <w:t xml:space="preserve">Household </w:t>
      </w:r>
      <w:r w:rsidR="00817166">
        <w:rPr>
          <w:i/>
        </w:rPr>
        <w:t>C</w:t>
      </w:r>
      <w:r w:rsidRPr="000C073B">
        <w:rPr>
          <w:i/>
        </w:rPr>
        <w:t>haracteristics</w:t>
      </w:r>
    </w:p>
    <w:p w14:paraId="7CFCF3D1" w14:textId="77777777" w:rsidR="00713299" w:rsidRDefault="00713299" w:rsidP="00713299"/>
    <w:p w14:paraId="0F22A498" w14:textId="728D3645" w:rsidR="00713299" w:rsidRDefault="00713299" w:rsidP="00713299">
      <w:r>
        <w:t xml:space="preserve">The number or proportion of </w:t>
      </w:r>
      <w:r w:rsidR="00817166">
        <w:t>households</w:t>
      </w:r>
      <w:r>
        <w:t xml:space="preserve"> that are synagogue members:</w:t>
      </w:r>
    </w:p>
    <w:p w14:paraId="3F1124E0" w14:textId="77777777" w:rsidR="00713299" w:rsidRDefault="00713299" w:rsidP="00713299"/>
    <w:p w14:paraId="0FC06E0F" w14:textId="4AAA3EF8" w:rsidR="00713299" w:rsidRDefault="00713299" w:rsidP="00713299">
      <w:r>
        <w:t>svyset _n [pweight=</w:t>
      </w:r>
      <w:r w:rsidR="002A226D" w:rsidRPr="002A226D">
        <w:t xml:space="preserve"> </w:t>
      </w:r>
      <w:r w:rsidR="002A226D">
        <w:t>x_</w:t>
      </w:r>
      <w:r>
        <w:t>wthh], strata(</w:t>
      </w:r>
      <w:r w:rsidR="002A226D">
        <w:t>x_</w:t>
      </w:r>
      <w:r>
        <w:t>stratagrp) vce(linearized) singleunit(missing)</w:t>
      </w:r>
    </w:p>
    <w:p w14:paraId="644AF044" w14:textId="291C6731" w:rsidR="00713299" w:rsidRDefault="00713299" w:rsidP="00713299">
      <w:r>
        <w:t>svy, subpop(</w:t>
      </w:r>
      <w:r w:rsidR="002A226D">
        <w:t>x_</w:t>
      </w:r>
      <w:r>
        <w:t>hhjewish): tab rlsynany, count</w:t>
      </w:r>
    </w:p>
    <w:p w14:paraId="29F05119" w14:textId="41AF809E" w:rsidR="00713299" w:rsidRDefault="00713299" w:rsidP="00713299">
      <w:r>
        <w:t>svy, subpop(</w:t>
      </w:r>
      <w:r w:rsidR="002A226D">
        <w:t>x_</w:t>
      </w:r>
      <w:r>
        <w:t>hhjewish): tab rlsynany</w:t>
      </w:r>
    </w:p>
    <w:p w14:paraId="0363F13F" w14:textId="77777777" w:rsidR="00713299" w:rsidRDefault="00713299" w:rsidP="00713299"/>
    <w:p w14:paraId="6EFF413E" w14:textId="0598D3CC" w:rsidR="00713299" w:rsidRPr="00713299" w:rsidRDefault="00713299" w:rsidP="00713299">
      <w:pPr>
        <w:rPr>
          <w:i/>
        </w:rPr>
      </w:pPr>
      <w:r w:rsidRPr="00713299">
        <w:rPr>
          <w:i/>
        </w:rPr>
        <w:t xml:space="preserve">Example: Counts </w:t>
      </w:r>
      <w:r w:rsidR="00817166">
        <w:rPr>
          <w:i/>
        </w:rPr>
        <w:t>of People</w:t>
      </w:r>
    </w:p>
    <w:p w14:paraId="4FBA8A65" w14:textId="77777777" w:rsidR="00713299" w:rsidRDefault="00713299" w:rsidP="00713299"/>
    <w:p w14:paraId="5176E687" w14:textId="5BC81014" w:rsidR="00713299" w:rsidRDefault="00713299" w:rsidP="00713299">
      <w:r>
        <w:t>svyset _n [pweight=</w:t>
      </w:r>
      <w:r w:rsidR="002A226D" w:rsidRPr="002A226D">
        <w:t xml:space="preserve"> </w:t>
      </w:r>
      <w:r w:rsidR="002A226D">
        <w:t>x_</w:t>
      </w:r>
      <w:r>
        <w:t>wthh], strata(</w:t>
      </w:r>
      <w:r w:rsidR="002A226D">
        <w:t>x_</w:t>
      </w:r>
      <w:r>
        <w:t>stratagrp) vce(linearized) singleunit(missing)</w:t>
      </w:r>
    </w:p>
    <w:p w14:paraId="59769E63" w14:textId="0621DA80" w:rsidR="00713299" w:rsidRDefault="00713299" w:rsidP="00713299">
      <w:r>
        <w:t>svy, subpop(</w:t>
      </w:r>
      <w:r w:rsidR="002A226D">
        <w:t>x_</w:t>
      </w:r>
      <w:r>
        <w:t>hhjewish): total hhadct</w:t>
      </w:r>
    </w:p>
    <w:p w14:paraId="36A71189" w14:textId="77777777" w:rsidR="00713299" w:rsidRDefault="00713299" w:rsidP="00713299"/>
    <w:p w14:paraId="425878E1" w14:textId="4C39FF49" w:rsidR="00713299" w:rsidRPr="000C073B" w:rsidRDefault="00713299" w:rsidP="00713299">
      <w:pPr>
        <w:rPr>
          <w:i/>
        </w:rPr>
      </w:pPr>
      <w:r>
        <w:rPr>
          <w:i/>
        </w:rPr>
        <w:t>Example</w:t>
      </w:r>
      <w:r>
        <w:t xml:space="preserve">: </w:t>
      </w:r>
      <w:r>
        <w:rPr>
          <w:i/>
        </w:rPr>
        <w:t>R</w:t>
      </w:r>
      <w:r w:rsidRPr="000C073B">
        <w:rPr>
          <w:i/>
        </w:rPr>
        <w:t>espondent</w:t>
      </w:r>
      <w:r w:rsidR="00817166">
        <w:rPr>
          <w:i/>
        </w:rPr>
        <w:t xml:space="preserve"> or Individual</w:t>
      </w:r>
      <w:r w:rsidRPr="000C073B">
        <w:rPr>
          <w:i/>
        </w:rPr>
        <w:t xml:space="preserve"> </w:t>
      </w:r>
      <w:r w:rsidR="00817166">
        <w:rPr>
          <w:i/>
        </w:rPr>
        <w:t>C</w:t>
      </w:r>
      <w:r w:rsidRPr="000C073B">
        <w:rPr>
          <w:i/>
        </w:rPr>
        <w:t>haracteristics</w:t>
      </w:r>
    </w:p>
    <w:p w14:paraId="57222DD9" w14:textId="77777777" w:rsidR="00713299" w:rsidRDefault="00713299" w:rsidP="00713299"/>
    <w:p w14:paraId="5545BD11" w14:textId="77777777" w:rsidR="00713299" w:rsidRDefault="00713299" w:rsidP="00713299">
      <w:r>
        <w:t>The proportion of close Jewish friends:</w:t>
      </w:r>
    </w:p>
    <w:p w14:paraId="6F7309D8" w14:textId="77777777" w:rsidR="00713299" w:rsidRDefault="00713299" w:rsidP="00713299"/>
    <w:p w14:paraId="2B4D870D" w14:textId="224A749D" w:rsidR="00713299" w:rsidRDefault="00713299" w:rsidP="00713299">
      <w:r>
        <w:t>svyset _n [pweight=</w:t>
      </w:r>
      <w:r w:rsidR="002A226D" w:rsidRPr="002A226D">
        <w:t xml:space="preserve"> </w:t>
      </w:r>
      <w:r w:rsidR="002A226D">
        <w:t>x_</w:t>
      </w:r>
      <w:r>
        <w:t>wtresp], strata(</w:t>
      </w:r>
      <w:r w:rsidR="002A226D">
        <w:t>x_</w:t>
      </w:r>
      <w:r>
        <w:t>stratagrp) vce(linearized) singleunit(missing)</w:t>
      </w:r>
    </w:p>
    <w:p w14:paraId="5842C0A2" w14:textId="743EA4F0" w:rsidR="00713299" w:rsidRDefault="00713299" w:rsidP="00713299">
      <w:r>
        <w:t>svy, subpop(</w:t>
      </w:r>
      <w:r w:rsidR="002A226D">
        <w:t>x_</w:t>
      </w:r>
      <w:r>
        <w:t>respjewish): tab jlfriend</w:t>
      </w:r>
    </w:p>
    <w:p w14:paraId="2B59F2A3" w14:textId="77777777" w:rsidR="00713299" w:rsidRDefault="00713299" w:rsidP="00B8247A"/>
    <w:p w14:paraId="66A63038" w14:textId="3432C401" w:rsidR="00713299" w:rsidRPr="00713299" w:rsidRDefault="00713299" w:rsidP="00B8247A">
      <w:pPr>
        <w:rPr>
          <w:u w:val="single"/>
        </w:rPr>
      </w:pPr>
      <w:r>
        <w:rPr>
          <w:u w:val="single"/>
        </w:rPr>
        <w:t>Full Weights</w:t>
      </w:r>
    </w:p>
    <w:p w14:paraId="1094B6BA" w14:textId="77777777" w:rsidR="00713299" w:rsidRDefault="00713299" w:rsidP="00B8247A"/>
    <w:p w14:paraId="3AF97113" w14:textId="573499BF" w:rsidR="00B8247A" w:rsidRPr="00713299" w:rsidRDefault="00713299" w:rsidP="00B8247A">
      <w:pPr>
        <w:rPr>
          <w:i/>
        </w:rPr>
      </w:pPr>
      <w:r w:rsidRPr="00923F3C">
        <w:rPr>
          <w:i/>
        </w:rPr>
        <w:t>DO NOT use the full weights to generate population counts</w:t>
      </w:r>
      <w:r>
        <w:rPr>
          <w:i/>
        </w:rPr>
        <w:t xml:space="preserve">. </w:t>
      </w:r>
      <w:r w:rsidR="00B8247A" w:rsidRPr="00923F3C">
        <w:t>Full weights should be used for characteristics of subgroups</w:t>
      </w:r>
      <w:r w:rsidR="00923F3C">
        <w:t xml:space="preserve"> (e.g., percentage of synagogue-member households that belong to other Jewish organizations)</w:t>
      </w:r>
    </w:p>
    <w:p w14:paraId="0E73BE8C" w14:textId="77777777" w:rsidR="00B8247A" w:rsidRDefault="00B8247A" w:rsidP="00B8247A"/>
    <w:p w14:paraId="0961AFC5" w14:textId="09E5D466" w:rsidR="00B8247A" w:rsidRDefault="00B8247A" w:rsidP="00B8247A">
      <w:r>
        <w:t>svyset _n [pweight=</w:t>
      </w:r>
      <w:r w:rsidR="002A226D" w:rsidRPr="002A226D">
        <w:t xml:space="preserve"> </w:t>
      </w:r>
      <w:r w:rsidR="002A226D">
        <w:t>x_</w:t>
      </w:r>
      <w:r>
        <w:t>wthhf], strata(</w:t>
      </w:r>
      <w:r w:rsidR="002A226D">
        <w:t>x_</w:t>
      </w:r>
      <w:r>
        <w:t>stratagrp) vce(linearized) singleunit(missing)</w:t>
      </w:r>
    </w:p>
    <w:p w14:paraId="03A0C0CF" w14:textId="77777777" w:rsidR="00B8247A" w:rsidRDefault="00B8247A" w:rsidP="00B8247A"/>
    <w:p w14:paraId="3BABD4E9" w14:textId="5111F8F6" w:rsidR="00B8247A" w:rsidRDefault="00B8247A" w:rsidP="00B8247A">
      <w:r>
        <w:t>svyset _n [pweight=</w:t>
      </w:r>
      <w:r w:rsidR="002A226D" w:rsidRPr="002A226D">
        <w:t xml:space="preserve"> </w:t>
      </w:r>
      <w:r w:rsidR="002A226D">
        <w:t>x_</w:t>
      </w:r>
      <w:r>
        <w:t>wtrespf], strata(</w:t>
      </w:r>
      <w:r w:rsidR="002A226D">
        <w:t>x_</w:t>
      </w:r>
      <w:r>
        <w:t>stratagrp) vce(linearized) singleunit(missing)</w:t>
      </w:r>
    </w:p>
    <w:p w14:paraId="5A6388D0" w14:textId="77777777" w:rsidR="00B8247A" w:rsidRDefault="00B8247A" w:rsidP="00B8247A"/>
    <w:p w14:paraId="3784824F" w14:textId="0CF4DB9F" w:rsidR="00B8247A" w:rsidRPr="000C073B" w:rsidRDefault="000C073B" w:rsidP="00B8247A">
      <w:pPr>
        <w:rPr>
          <w:i/>
        </w:rPr>
      </w:pPr>
      <w:r w:rsidRPr="000C073B">
        <w:rPr>
          <w:i/>
        </w:rPr>
        <w:t xml:space="preserve">Example: </w:t>
      </w:r>
      <w:r w:rsidR="00B8247A" w:rsidRPr="000C073B">
        <w:rPr>
          <w:i/>
        </w:rPr>
        <w:t>H</w:t>
      </w:r>
      <w:r w:rsidR="00923F3C" w:rsidRPr="000C073B">
        <w:rPr>
          <w:i/>
        </w:rPr>
        <w:t>ousehold</w:t>
      </w:r>
      <w:r w:rsidR="00B8247A" w:rsidRPr="000C073B">
        <w:rPr>
          <w:i/>
        </w:rPr>
        <w:t xml:space="preserve"> </w:t>
      </w:r>
      <w:r w:rsidR="00817166">
        <w:rPr>
          <w:i/>
        </w:rPr>
        <w:t>S</w:t>
      </w:r>
      <w:r w:rsidR="00B8247A" w:rsidRPr="000C073B">
        <w:rPr>
          <w:i/>
        </w:rPr>
        <w:t>ubpopulations</w:t>
      </w:r>
    </w:p>
    <w:p w14:paraId="7187D601" w14:textId="77777777" w:rsidR="00923F3C" w:rsidRDefault="00923F3C" w:rsidP="00B8247A"/>
    <w:p w14:paraId="0329E53E" w14:textId="77777777" w:rsidR="00B8247A" w:rsidRDefault="00923F3C" w:rsidP="00B8247A">
      <w:r>
        <w:t>T</w:t>
      </w:r>
      <w:r w:rsidR="00B8247A">
        <w:t>he proportion of synagogue-member h</w:t>
      </w:r>
      <w:r>
        <w:t>ouse</w:t>
      </w:r>
      <w:r w:rsidR="00B8247A">
        <w:t>h</w:t>
      </w:r>
      <w:r>
        <w:t>olds</w:t>
      </w:r>
      <w:r w:rsidR="00B8247A">
        <w:t xml:space="preserve"> that also belong to Jewish organizations</w:t>
      </w:r>
      <w:r>
        <w:t>:</w:t>
      </w:r>
    </w:p>
    <w:p w14:paraId="794C3F2E" w14:textId="77777777" w:rsidR="00B8247A" w:rsidRDefault="00B8247A" w:rsidP="00B8247A"/>
    <w:p w14:paraId="7D20C8BD" w14:textId="7EEDD9C6" w:rsidR="00B8247A" w:rsidRDefault="00B8247A" w:rsidP="00B8247A">
      <w:r>
        <w:t>svyset _n [pweight=</w:t>
      </w:r>
      <w:r w:rsidR="002A226D" w:rsidRPr="002A226D">
        <w:t xml:space="preserve"> </w:t>
      </w:r>
      <w:r w:rsidR="002A226D">
        <w:t>x_</w:t>
      </w:r>
      <w:r>
        <w:t>wthh</w:t>
      </w:r>
      <w:r w:rsidR="00923F3C">
        <w:t>f</w:t>
      </w:r>
      <w:r>
        <w:t>], strata(</w:t>
      </w:r>
      <w:r w:rsidR="002A226D">
        <w:t>x_</w:t>
      </w:r>
      <w:r>
        <w:t>stratagrp) vce(linearized) singleunit(missing)</w:t>
      </w:r>
    </w:p>
    <w:p w14:paraId="6DC1E355" w14:textId="05C87D77" w:rsidR="00B8247A" w:rsidRDefault="00B8247A" w:rsidP="00B8247A">
      <w:r>
        <w:t>svy, subpop(</w:t>
      </w:r>
      <w:r w:rsidR="002A226D">
        <w:t>x_</w:t>
      </w:r>
      <w:r>
        <w:t>hhjewish): tab actmem rlsynany, col</w:t>
      </w:r>
    </w:p>
    <w:p w14:paraId="423B2AA4" w14:textId="77777777" w:rsidR="00B8247A" w:rsidRDefault="00B8247A" w:rsidP="00B8247A"/>
    <w:p w14:paraId="72DFABAB" w14:textId="72957DCB" w:rsidR="00B8247A" w:rsidRPr="000C073B" w:rsidRDefault="000C073B" w:rsidP="00B8247A">
      <w:pPr>
        <w:rPr>
          <w:i/>
        </w:rPr>
      </w:pPr>
      <w:r w:rsidRPr="000C073B">
        <w:rPr>
          <w:i/>
        </w:rPr>
        <w:t xml:space="preserve">Example: </w:t>
      </w:r>
      <w:r w:rsidR="00713299">
        <w:rPr>
          <w:i/>
        </w:rPr>
        <w:t>R</w:t>
      </w:r>
      <w:r w:rsidR="00B8247A" w:rsidRPr="000C073B">
        <w:rPr>
          <w:i/>
        </w:rPr>
        <w:t>espondent</w:t>
      </w:r>
      <w:r w:rsidR="00817166">
        <w:rPr>
          <w:i/>
        </w:rPr>
        <w:t xml:space="preserve"> or Individual C</w:t>
      </w:r>
      <w:r w:rsidR="00923F3C" w:rsidRPr="000C073B">
        <w:rPr>
          <w:i/>
        </w:rPr>
        <w:t>haracteristics</w:t>
      </w:r>
    </w:p>
    <w:p w14:paraId="09C9B403" w14:textId="77777777" w:rsidR="00B8247A" w:rsidRDefault="00B8247A" w:rsidP="00B8247A"/>
    <w:p w14:paraId="1A0B985B" w14:textId="77777777" w:rsidR="00B8247A" w:rsidRDefault="00923F3C" w:rsidP="00B8247A">
      <w:r>
        <w:t>T</w:t>
      </w:r>
      <w:r w:rsidR="00B8247A">
        <w:t>he proportion of close Jewish friends held by those born locally</w:t>
      </w:r>
      <w:r>
        <w:t>:</w:t>
      </w:r>
    </w:p>
    <w:p w14:paraId="49E0968D" w14:textId="77777777" w:rsidR="00B8247A" w:rsidRDefault="00B8247A" w:rsidP="00B8247A"/>
    <w:p w14:paraId="47FC819A" w14:textId="59F1CB42" w:rsidR="00B8247A" w:rsidRDefault="00B8247A" w:rsidP="00B8247A">
      <w:r>
        <w:t>svyset _n [pweight=</w:t>
      </w:r>
      <w:r w:rsidR="002A226D" w:rsidRPr="002A226D">
        <w:t xml:space="preserve"> </w:t>
      </w:r>
      <w:r w:rsidR="002A226D">
        <w:t>x_</w:t>
      </w:r>
      <w:r>
        <w:t>wtresp</w:t>
      </w:r>
      <w:r w:rsidR="00923F3C">
        <w:t>f</w:t>
      </w:r>
      <w:r>
        <w:t>], strata(</w:t>
      </w:r>
      <w:r w:rsidR="002A226D">
        <w:t>x_</w:t>
      </w:r>
      <w:r>
        <w:t>stratagrp) vce(linearized) singleunit(missing)</w:t>
      </w:r>
    </w:p>
    <w:p w14:paraId="673853A7" w14:textId="2C0F9086" w:rsidR="00B8247A" w:rsidRDefault="00B8247A" w:rsidP="00B8247A">
      <w:r>
        <w:t>svy, subpop(</w:t>
      </w:r>
      <w:r w:rsidR="002A226D">
        <w:t>x_</w:t>
      </w:r>
      <w:r>
        <w:t>respjewish): tab jlfriend locborn, col</w:t>
      </w:r>
    </w:p>
    <w:p w14:paraId="76EE2673" w14:textId="77777777" w:rsidR="009D588A" w:rsidRDefault="009D588A"/>
    <w:p w14:paraId="2239A922" w14:textId="191A431D" w:rsidR="0061481B" w:rsidRDefault="0061481B">
      <w:r>
        <w:br w:type="page"/>
      </w:r>
    </w:p>
    <w:p w14:paraId="1F8D6722" w14:textId="774DD773" w:rsidR="0061481B" w:rsidRPr="00AC3428" w:rsidRDefault="00C65694">
      <w:pPr>
        <w:rPr>
          <w:rFonts w:ascii="Cambria" w:hAnsi="Cambria"/>
          <w:b/>
        </w:rPr>
      </w:pPr>
      <w:r>
        <w:rPr>
          <w:rFonts w:ascii="Cambria" w:hAnsi="Cambria"/>
          <w:b/>
        </w:rPr>
        <w:lastRenderedPageBreak/>
        <w:t xml:space="preserve">Combined Jewish Philanthropies’ </w:t>
      </w:r>
      <w:r w:rsidR="0061481B" w:rsidRPr="00AC3428">
        <w:rPr>
          <w:rFonts w:ascii="Cambria" w:hAnsi="Cambria"/>
          <w:b/>
        </w:rPr>
        <w:t xml:space="preserve">New Regional </w:t>
      </w:r>
      <w:r w:rsidR="00155A45" w:rsidRPr="00AC3428">
        <w:rPr>
          <w:rFonts w:ascii="Cambria" w:hAnsi="Cambria"/>
          <w:b/>
        </w:rPr>
        <w:t>Definitions</w:t>
      </w:r>
      <w:r w:rsidR="0061481B" w:rsidRPr="00AC3428">
        <w:rPr>
          <w:rFonts w:ascii="Cambria" w:hAnsi="Cambria"/>
          <w:b/>
        </w:rPr>
        <w:t xml:space="preserve"> (x_newregion)</w:t>
      </w:r>
    </w:p>
    <w:p w14:paraId="0EBA54A7" w14:textId="77777777" w:rsidR="0061481B" w:rsidRPr="00AC3428" w:rsidRDefault="0061481B">
      <w:pPr>
        <w:rPr>
          <w:rFonts w:ascii="Cambria" w:hAnsi="Cambria"/>
          <w:b/>
        </w:rPr>
      </w:pPr>
    </w:p>
    <w:p w14:paraId="5E28BDCF" w14:textId="1E72A0A8" w:rsidR="0061481B" w:rsidRPr="00AC3428" w:rsidRDefault="00155A45">
      <w:pPr>
        <w:rPr>
          <w:rFonts w:ascii="Cambria" w:hAnsi="Cambria"/>
        </w:rPr>
      </w:pPr>
      <w:r w:rsidRPr="00AC3428">
        <w:rPr>
          <w:rFonts w:ascii="Cambria" w:hAnsi="Cambria"/>
          <w:u w:val="single"/>
        </w:rPr>
        <w:t>Downtown Boston</w:t>
      </w:r>
      <w:r w:rsidRPr="00AC3428">
        <w:rPr>
          <w:rFonts w:ascii="Cambria" w:hAnsi="Cambria"/>
        </w:rPr>
        <w:t xml:space="preserve">: </w:t>
      </w:r>
      <w:r w:rsidRPr="00AC3428">
        <w:rPr>
          <w:rFonts w:ascii="Cambria" w:eastAsia="Times New Roman" w:hAnsi="Cambria" w:cs="Times New Roman"/>
          <w:color w:val="000000"/>
        </w:rPr>
        <w:t>Back Bay, Bay Village, Beacon Hill, Chelsea, Chinatown, Downtown, East Boston, Everett, Fenway, Leather District, North End, Revere, South Boston, South Boston Waterfront, South End, West End, Winthrop</w:t>
      </w:r>
    </w:p>
    <w:p w14:paraId="71BF700A" w14:textId="77777777" w:rsidR="00155A45" w:rsidRPr="00AC3428" w:rsidRDefault="00155A45">
      <w:pPr>
        <w:rPr>
          <w:rFonts w:ascii="Cambria" w:hAnsi="Cambria"/>
        </w:rPr>
      </w:pPr>
    </w:p>
    <w:p w14:paraId="583A1ED3" w14:textId="327132BA" w:rsidR="00155A45" w:rsidRPr="00AC3428" w:rsidRDefault="000F6E92">
      <w:pPr>
        <w:rPr>
          <w:rFonts w:ascii="Cambria" w:hAnsi="Cambria"/>
        </w:rPr>
      </w:pPr>
      <w:r>
        <w:rPr>
          <w:rFonts w:ascii="Cambria" w:hAnsi="Cambria"/>
          <w:u w:val="single"/>
        </w:rPr>
        <w:t>Brookline, Brighton, Allston, and Surrounding</w:t>
      </w:r>
      <w:r w:rsidR="00155A45" w:rsidRPr="00AC3428">
        <w:rPr>
          <w:rFonts w:ascii="Cambria" w:hAnsi="Cambria"/>
        </w:rPr>
        <w:t>: Allston, Brighton, Brookline, Longwood, Mission Hill</w:t>
      </w:r>
    </w:p>
    <w:p w14:paraId="65EDE876" w14:textId="77777777" w:rsidR="00155A45" w:rsidRPr="00AC3428" w:rsidRDefault="00155A45">
      <w:pPr>
        <w:rPr>
          <w:rFonts w:ascii="Cambria" w:hAnsi="Cambria"/>
        </w:rPr>
      </w:pPr>
    </w:p>
    <w:p w14:paraId="72FBE190" w14:textId="6610ED63" w:rsidR="00155A45" w:rsidRPr="00AC3428" w:rsidRDefault="000F6E92">
      <w:pPr>
        <w:rPr>
          <w:rFonts w:ascii="Cambria" w:hAnsi="Cambria"/>
        </w:rPr>
      </w:pPr>
      <w:r>
        <w:rPr>
          <w:rFonts w:ascii="Cambria" w:hAnsi="Cambria"/>
          <w:u w:val="single"/>
        </w:rPr>
        <w:t>Cambridge, Somerville, Medford, Charlestown</w:t>
      </w:r>
      <w:r w:rsidR="00155A45" w:rsidRPr="00AC3428">
        <w:rPr>
          <w:rFonts w:ascii="Cambria" w:hAnsi="Cambria"/>
        </w:rPr>
        <w:t>: Camb</w:t>
      </w:r>
      <w:r w:rsidR="00AC3428">
        <w:rPr>
          <w:rFonts w:ascii="Cambria" w:hAnsi="Cambria"/>
        </w:rPr>
        <w:t>ridge, Charlestown, Medford, Som</w:t>
      </w:r>
      <w:r w:rsidR="00155A45" w:rsidRPr="00AC3428">
        <w:rPr>
          <w:rFonts w:ascii="Cambria" w:hAnsi="Cambria"/>
        </w:rPr>
        <w:t>erville</w:t>
      </w:r>
    </w:p>
    <w:p w14:paraId="44094454" w14:textId="77777777" w:rsidR="00155A45" w:rsidRPr="00AC3428" w:rsidRDefault="00155A45">
      <w:pPr>
        <w:rPr>
          <w:rFonts w:ascii="Cambria" w:hAnsi="Cambria"/>
        </w:rPr>
      </w:pPr>
    </w:p>
    <w:p w14:paraId="376A14A1" w14:textId="090C4F42" w:rsidR="00155A45" w:rsidRPr="00AC3428" w:rsidRDefault="000F6E92">
      <w:pPr>
        <w:rPr>
          <w:rFonts w:ascii="Cambria" w:hAnsi="Cambria"/>
        </w:rPr>
      </w:pPr>
      <w:r>
        <w:rPr>
          <w:rFonts w:ascii="Cambria" w:hAnsi="Cambria"/>
          <w:u w:val="single"/>
        </w:rPr>
        <w:t>Jamaica Plain, W. Roxbury, Roslindale, and Surrounding</w:t>
      </w:r>
      <w:r w:rsidR="00155A45" w:rsidRPr="00AC3428">
        <w:rPr>
          <w:rFonts w:ascii="Cambria" w:hAnsi="Cambria"/>
        </w:rPr>
        <w:t>: Dorchester, Hyde Park, Jamaica Plain, Matt</w:t>
      </w:r>
      <w:r w:rsidR="00AC3428">
        <w:rPr>
          <w:rFonts w:ascii="Cambria" w:hAnsi="Cambria"/>
        </w:rPr>
        <w:t xml:space="preserve">apan, Roslindale, Roxbury, West </w:t>
      </w:r>
      <w:r w:rsidR="00155A45" w:rsidRPr="00AC3428">
        <w:rPr>
          <w:rFonts w:ascii="Cambria" w:hAnsi="Cambria"/>
        </w:rPr>
        <w:t>Roxbury</w:t>
      </w:r>
    </w:p>
    <w:p w14:paraId="32F436B9" w14:textId="77777777" w:rsidR="00155A45" w:rsidRPr="00AC3428" w:rsidRDefault="00155A45">
      <w:pPr>
        <w:rPr>
          <w:rFonts w:ascii="Cambria" w:hAnsi="Cambria"/>
        </w:rPr>
      </w:pPr>
    </w:p>
    <w:p w14:paraId="5A8E7F96" w14:textId="5DC7AB58" w:rsidR="000F6E92" w:rsidRDefault="000F6E92">
      <w:pPr>
        <w:rPr>
          <w:rFonts w:ascii="Cambria" w:hAnsi="Cambria"/>
        </w:rPr>
      </w:pPr>
      <w:r>
        <w:rPr>
          <w:rFonts w:ascii="Cambria" w:hAnsi="Cambria"/>
          <w:u w:val="single"/>
        </w:rPr>
        <w:t>Newton, Needham, Wellesley, Weston</w:t>
      </w:r>
      <w:r w:rsidR="00155A45" w:rsidRPr="00AC3428">
        <w:rPr>
          <w:rFonts w:ascii="Cambria" w:hAnsi="Cambria"/>
        </w:rPr>
        <w:t xml:space="preserve">: </w:t>
      </w:r>
      <w:r w:rsidRPr="00AC3428">
        <w:rPr>
          <w:rFonts w:ascii="Cambria" w:hAnsi="Cambria"/>
        </w:rPr>
        <w:t>Needham, Newton,</w:t>
      </w:r>
      <w:r w:rsidRPr="000F6E92">
        <w:rPr>
          <w:rFonts w:ascii="Cambria" w:hAnsi="Cambria"/>
        </w:rPr>
        <w:t xml:space="preserve"> </w:t>
      </w:r>
      <w:r w:rsidRPr="00AC3428">
        <w:rPr>
          <w:rFonts w:ascii="Cambria" w:hAnsi="Cambria"/>
        </w:rPr>
        <w:t>Wellesley, Weston</w:t>
      </w:r>
    </w:p>
    <w:p w14:paraId="45CC3560" w14:textId="77777777" w:rsidR="000F6E92" w:rsidRDefault="000F6E92">
      <w:pPr>
        <w:rPr>
          <w:rFonts w:ascii="Cambria" w:hAnsi="Cambria"/>
        </w:rPr>
      </w:pPr>
    </w:p>
    <w:p w14:paraId="5DE4340B" w14:textId="641719D3" w:rsidR="00155A45" w:rsidRPr="00AC3428" w:rsidRDefault="000F6E92">
      <w:pPr>
        <w:rPr>
          <w:rFonts w:ascii="Cambria" w:hAnsi="Cambria"/>
        </w:rPr>
      </w:pPr>
      <w:r>
        <w:rPr>
          <w:rFonts w:ascii="Cambria" w:hAnsi="Cambria"/>
          <w:u w:val="single"/>
        </w:rPr>
        <w:t>Lexington, Waltham, Water</w:t>
      </w:r>
      <w:r w:rsidRPr="000F6E92">
        <w:rPr>
          <w:rFonts w:ascii="Cambria" w:hAnsi="Cambria"/>
          <w:u w:val="single"/>
        </w:rPr>
        <w:t>t</w:t>
      </w:r>
      <w:r>
        <w:rPr>
          <w:rFonts w:ascii="Cambria" w:hAnsi="Cambria"/>
          <w:u w:val="single"/>
        </w:rPr>
        <w:t>ow</w:t>
      </w:r>
      <w:r w:rsidRPr="000F6E92">
        <w:rPr>
          <w:rFonts w:ascii="Cambria" w:hAnsi="Cambria"/>
          <w:u w:val="single"/>
        </w:rPr>
        <w:t>n, Arlington, Belmont</w:t>
      </w:r>
      <w:r>
        <w:rPr>
          <w:rFonts w:ascii="Cambria" w:hAnsi="Cambria"/>
        </w:rPr>
        <w:t xml:space="preserve">: Arlington, </w:t>
      </w:r>
      <w:r w:rsidR="00155A45" w:rsidRPr="00AC3428">
        <w:rPr>
          <w:rFonts w:ascii="Cambria" w:hAnsi="Cambria"/>
        </w:rPr>
        <w:t xml:space="preserve">Belmont, Lexington, Waltham, Watertown, </w:t>
      </w:r>
    </w:p>
    <w:p w14:paraId="16AD65DC" w14:textId="77777777" w:rsidR="00155A45" w:rsidRPr="00AC3428" w:rsidRDefault="00155A45">
      <w:pPr>
        <w:rPr>
          <w:rFonts w:ascii="Cambria" w:hAnsi="Cambria"/>
        </w:rPr>
      </w:pPr>
    </w:p>
    <w:p w14:paraId="72C418F1" w14:textId="3642067A" w:rsidR="00155A45" w:rsidRPr="00AC3428" w:rsidRDefault="00155A45">
      <w:pPr>
        <w:rPr>
          <w:rFonts w:ascii="Cambria" w:eastAsia="Times New Roman" w:hAnsi="Cambria" w:cs="Times New Roman"/>
          <w:color w:val="000000"/>
        </w:rPr>
      </w:pPr>
      <w:r w:rsidRPr="00AC3428">
        <w:rPr>
          <w:rFonts w:ascii="Cambria" w:hAnsi="Cambria"/>
          <w:u w:val="single"/>
        </w:rPr>
        <w:t>South Area</w:t>
      </w:r>
      <w:r w:rsidRPr="00AC3428">
        <w:rPr>
          <w:rFonts w:ascii="Cambria" w:hAnsi="Cambria"/>
        </w:rPr>
        <w:t xml:space="preserve">: </w:t>
      </w:r>
      <w:r w:rsidRPr="00AC3428">
        <w:rPr>
          <w:rFonts w:ascii="Cambria" w:eastAsia="Times New Roman" w:hAnsi="Cambria" w:cs="Times New Roman"/>
          <w:color w:val="000000"/>
        </w:rPr>
        <w:t>Abington, Avon, Braintree, Bridgewater, Brockton, Canton, Cohasset, Dedham, East Bridgewater, Easton, Foxborough, Halifax, Hanover, Hanson, Harbor Islands, Hingham, Holbrook, Hull, Kingston, Mansfield, Marshfield, Milton, Norwell, Norwood, Pembroke, Quincy, Randolph, Rockland, Scituate, Sharon, Stoughton, Walpole, West Bridgewater, Westwood, Weymouth, Whitman, Wrentham</w:t>
      </w:r>
    </w:p>
    <w:p w14:paraId="67FDD441" w14:textId="77777777" w:rsidR="00155A45" w:rsidRPr="00AC3428" w:rsidRDefault="00155A45">
      <w:pPr>
        <w:rPr>
          <w:rFonts w:ascii="Cambria" w:hAnsi="Cambria"/>
        </w:rPr>
      </w:pPr>
    </w:p>
    <w:p w14:paraId="05727878" w14:textId="3701A239" w:rsidR="00155A45" w:rsidRPr="00AC3428" w:rsidRDefault="00155A45">
      <w:pPr>
        <w:rPr>
          <w:rFonts w:ascii="Cambria" w:eastAsia="Times New Roman" w:hAnsi="Cambria" w:cs="Times New Roman"/>
          <w:color w:val="000000"/>
        </w:rPr>
      </w:pPr>
      <w:r w:rsidRPr="00AC3428">
        <w:rPr>
          <w:rFonts w:ascii="Cambria" w:hAnsi="Cambria"/>
          <w:u w:val="single"/>
        </w:rPr>
        <w:t>Metrowest</w:t>
      </w:r>
      <w:r w:rsidRPr="00AC3428">
        <w:rPr>
          <w:rFonts w:ascii="Cambria" w:hAnsi="Cambria"/>
        </w:rPr>
        <w:t xml:space="preserve">: </w:t>
      </w:r>
      <w:r w:rsidR="00AC3428" w:rsidRPr="00AC3428">
        <w:rPr>
          <w:rFonts w:ascii="Cambria" w:eastAsia="Times New Roman" w:hAnsi="Cambria" w:cs="Times New Roman"/>
          <w:color w:val="000000"/>
        </w:rPr>
        <w:t>Ashland, Bellingham, Dover, Framingham, Franklin, Holliston, Hopkinton, Hudson, Marlborough, Maynard, Medfield, Medway, Milford, Millis, Natick, Norfolk, Sherborn, Southborough, Stow, Sudbury, Wayland</w:t>
      </w:r>
    </w:p>
    <w:p w14:paraId="13845635" w14:textId="77777777" w:rsidR="00155A45" w:rsidRPr="00AC3428" w:rsidRDefault="00155A45">
      <w:pPr>
        <w:rPr>
          <w:rFonts w:ascii="Cambria" w:hAnsi="Cambria"/>
        </w:rPr>
      </w:pPr>
    </w:p>
    <w:p w14:paraId="45EB219A" w14:textId="05F4D92C" w:rsidR="00AC3428" w:rsidRPr="00AC3428" w:rsidRDefault="00155A45" w:rsidP="00AC3428">
      <w:pPr>
        <w:rPr>
          <w:rFonts w:ascii="Cambria" w:eastAsia="Times New Roman" w:hAnsi="Cambria" w:cs="Times New Roman"/>
          <w:color w:val="000000"/>
        </w:rPr>
      </w:pPr>
      <w:r w:rsidRPr="00AC3428">
        <w:rPr>
          <w:rFonts w:ascii="Cambria" w:hAnsi="Cambria"/>
          <w:u w:val="single"/>
        </w:rPr>
        <w:t>North and Northwest Suburbs</w:t>
      </w:r>
      <w:r w:rsidRPr="00AC3428">
        <w:rPr>
          <w:rFonts w:ascii="Cambria" w:hAnsi="Cambria"/>
        </w:rPr>
        <w:t xml:space="preserve">: </w:t>
      </w:r>
      <w:r w:rsidR="00AC3428" w:rsidRPr="00AC3428">
        <w:rPr>
          <w:rFonts w:ascii="Cambria" w:eastAsia="Times New Roman" w:hAnsi="Cambria" w:cs="Times New Roman"/>
          <w:color w:val="000000"/>
        </w:rPr>
        <w:t>Acton, Bedford, Boxborough, Burlington, Carlisle, Concord, Lincoln, Malden, Melrose, North Reading, Readi</w:t>
      </w:r>
      <w:r w:rsidR="00AC3428">
        <w:rPr>
          <w:rFonts w:ascii="Cambria" w:eastAsia="Times New Roman" w:hAnsi="Cambria" w:cs="Times New Roman"/>
          <w:color w:val="000000"/>
        </w:rPr>
        <w:t>ng, Stoneham, Wakefield, Wilmin</w:t>
      </w:r>
      <w:r w:rsidR="00AC3428" w:rsidRPr="00AC3428">
        <w:rPr>
          <w:rFonts w:ascii="Cambria" w:eastAsia="Times New Roman" w:hAnsi="Cambria" w:cs="Times New Roman"/>
          <w:color w:val="000000"/>
        </w:rPr>
        <w:t>gton, Winchester, Woburn, Sherborn, Southborough, Stow, Sudbury, Wayland</w:t>
      </w:r>
    </w:p>
    <w:p w14:paraId="1E1482EF" w14:textId="77777777" w:rsidR="00155A45" w:rsidRPr="00AC3428" w:rsidRDefault="00155A45">
      <w:pPr>
        <w:rPr>
          <w:rFonts w:ascii="Cambria" w:hAnsi="Cambria"/>
        </w:rPr>
      </w:pPr>
    </w:p>
    <w:p w14:paraId="13EFC3C6" w14:textId="435383C5" w:rsidR="00155A45" w:rsidRPr="00AC3428" w:rsidRDefault="00155A45">
      <w:pPr>
        <w:rPr>
          <w:rFonts w:ascii="Cambria" w:eastAsia="Times New Roman" w:hAnsi="Cambria" w:cs="Times New Roman"/>
          <w:color w:val="000000"/>
        </w:rPr>
      </w:pPr>
      <w:r w:rsidRPr="00AC3428">
        <w:rPr>
          <w:rFonts w:ascii="Cambria" w:hAnsi="Cambria"/>
          <w:u w:val="single"/>
        </w:rPr>
        <w:t>North Shore</w:t>
      </w:r>
      <w:r w:rsidRPr="00AC3428">
        <w:rPr>
          <w:rFonts w:ascii="Cambria" w:hAnsi="Cambria"/>
        </w:rPr>
        <w:t xml:space="preserve">: </w:t>
      </w:r>
      <w:r w:rsidR="00AC3428" w:rsidRPr="00AC3428">
        <w:rPr>
          <w:rFonts w:ascii="Cambria" w:eastAsia="Times New Roman" w:hAnsi="Cambria" w:cs="Times New Roman"/>
          <w:color w:val="000000"/>
        </w:rPr>
        <w:t>Beverly, Boxford, Danvers, Essex, Georgetown, Gloucester, Hamilton, Ipswich, Lynn, Lynnfield, Manchester, Marblehead, Middleton, Nahant, Newbury, Newburyport, Peabody, Rockport, Rowley, Salem, Saugus, Swampscott, Topsfield, Wenham</w:t>
      </w:r>
    </w:p>
    <w:sectPr w:rsidR="00155A45" w:rsidRPr="00AC3428" w:rsidSect="00210F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76082" w14:textId="77777777" w:rsidR="00155A45" w:rsidRDefault="00155A45" w:rsidP="00E83828">
      <w:r>
        <w:separator/>
      </w:r>
    </w:p>
  </w:endnote>
  <w:endnote w:type="continuationSeparator" w:id="0">
    <w:p w14:paraId="1B56DAEA" w14:textId="77777777" w:rsidR="00155A45" w:rsidRDefault="00155A45" w:rsidP="00E8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5B28D" w14:textId="77777777" w:rsidR="00155A45" w:rsidRDefault="00155A45" w:rsidP="00E83828">
      <w:r>
        <w:separator/>
      </w:r>
    </w:p>
  </w:footnote>
  <w:footnote w:type="continuationSeparator" w:id="0">
    <w:p w14:paraId="76271CEE" w14:textId="77777777" w:rsidR="00155A45" w:rsidRDefault="00155A45" w:rsidP="00E8382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6DC8"/>
    <w:multiLevelType w:val="hybridMultilevel"/>
    <w:tmpl w:val="C0B44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835D9"/>
    <w:multiLevelType w:val="hybridMultilevel"/>
    <w:tmpl w:val="47784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2600B"/>
    <w:multiLevelType w:val="hybridMultilevel"/>
    <w:tmpl w:val="4350C9CE"/>
    <w:lvl w:ilvl="0" w:tplc="E97CE90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5264F3"/>
    <w:multiLevelType w:val="hybridMultilevel"/>
    <w:tmpl w:val="3942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62317E"/>
    <w:multiLevelType w:val="hybridMultilevel"/>
    <w:tmpl w:val="4E10215E"/>
    <w:lvl w:ilvl="0" w:tplc="4F14073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7A"/>
    <w:rsid w:val="000C073B"/>
    <w:rsid w:val="000F6E92"/>
    <w:rsid w:val="00102F3B"/>
    <w:rsid w:val="00155A45"/>
    <w:rsid w:val="001651ED"/>
    <w:rsid w:val="001D7D32"/>
    <w:rsid w:val="001F2231"/>
    <w:rsid w:val="00205857"/>
    <w:rsid w:val="00210F9F"/>
    <w:rsid w:val="00261D2B"/>
    <w:rsid w:val="00262759"/>
    <w:rsid w:val="002A226D"/>
    <w:rsid w:val="002C43D0"/>
    <w:rsid w:val="00314607"/>
    <w:rsid w:val="003802CE"/>
    <w:rsid w:val="003C37BE"/>
    <w:rsid w:val="0040661A"/>
    <w:rsid w:val="00447D27"/>
    <w:rsid w:val="00485743"/>
    <w:rsid w:val="0049688A"/>
    <w:rsid w:val="00531604"/>
    <w:rsid w:val="00551962"/>
    <w:rsid w:val="00585473"/>
    <w:rsid w:val="005977BB"/>
    <w:rsid w:val="005B60C0"/>
    <w:rsid w:val="005F33AF"/>
    <w:rsid w:val="0061481B"/>
    <w:rsid w:val="006A077A"/>
    <w:rsid w:val="006A60A6"/>
    <w:rsid w:val="006E0142"/>
    <w:rsid w:val="00713299"/>
    <w:rsid w:val="007475A1"/>
    <w:rsid w:val="007B49AC"/>
    <w:rsid w:val="00800AD5"/>
    <w:rsid w:val="00817166"/>
    <w:rsid w:val="00923F3C"/>
    <w:rsid w:val="00933626"/>
    <w:rsid w:val="009358BF"/>
    <w:rsid w:val="009D588A"/>
    <w:rsid w:val="00A44FDF"/>
    <w:rsid w:val="00AA2D5D"/>
    <w:rsid w:val="00AC3428"/>
    <w:rsid w:val="00AD302D"/>
    <w:rsid w:val="00AD651B"/>
    <w:rsid w:val="00B23560"/>
    <w:rsid w:val="00B8247A"/>
    <w:rsid w:val="00C35004"/>
    <w:rsid w:val="00C65694"/>
    <w:rsid w:val="00CE1A42"/>
    <w:rsid w:val="00CF2952"/>
    <w:rsid w:val="00D153DA"/>
    <w:rsid w:val="00D30B25"/>
    <w:rsid w:val="00D35367"/>
    <w:rsid w:val="00D55BF1"/>
    <w:rsid w:val="00D61EEA"/>
    <w:rsid w:val="00E147EE"/>
    <w:rsid w:val="00E3215C"/>
    <w:rsid w:val="00E425BD"/>
    <w:rsid w:val="00E83828"/>
    <w:rsid w:val="00EE63C2"/>
    <w:rsid w:val="00EF35BB"/>
    <w:rsid w:val="00F5745A"/>
    <w:rsid w:val="00FF616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DA40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eattle">
    <w:name w:val="Seattle"/>
    <w:basedOn w:val="TableNormal"/>
    <w:uiPriority w:val="99"/>
    <w:rsid w:val="00485743"/>
    <w:rPr>
      <w:rFonts w:ascii="Gill Sans MT" w:eastAsiaTheme="minorHAnsi" w:hAnsi="Gill Sans MT"/>
      <w:sz w:val="20"/>
      <w:szCs w:val="22"/>
    </w:rPr>
    <w:tblPr>
      <w:tblStyleRowBandSize w:val="1"/>
      <w:tblInd w:w="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blBorders>
      <w:tblCellMar>
        <w:top w:w="0" w:type="dxa"/>
        <w:left w:w="108" w:type="dxa"/>
        <w:bottom w:w="0" w:type="dxa"/>
        <w:right w:w="108" w:type="dxa"/>
      </w:tblCellMar>
    </w:tblPr>
    <w:tcPr>
      <w:vAlign w:val="center"/>
    </w:tcPr>
    <w:tblStylePr w:type="firstRow">
      <w:pPr>
        <w:jc w:val="left"/>
      </w:pPr>
      <w:rPr>
        <w:rFonts w:ascii="Gill Sans MT" w:hAnsi="Gill Sans MT"/>
        <w:b/>
        <w:sz w:val="20"/>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il"/>
          <w:insideV w:val="nil"/>
          <w:tl2br w:val="nil"/>
          <w:tr2bl w:val="nil"/>
        </w:tcBorders>
        <w:shd w:val="clear" w:color="auto" w:fill="BFBFBF" w:themeFill="background1" w:themeFillShade="BF"/>
      </w:tcPr>
    </w:tblStylePr>
  </w:style>
  <w:style w:type="table" w:customStyle="1" w:styleId="Nashville">
    <w:name w:val="Nashville"/>
    <w:basedOn w:val="TableNormal"/>
    <w:uiPriority w:val="99"/>
    <w:rsid w:val="00485743"/>
    <w:rPr>
      <w:rFonts w:ascii="Gill Sans MT" w:eastAsiaTheme="minorHAnsi" w:hAnsi="Gill Sans MT" w:cs="Times New Roman"/>
      <w:szCs w:val="22"/>
    </w:r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tblStylePr w:type="firstRow">
      <w:rPr>
        <w:rFonts w:ascii="Gill Sans MT" w:hAnsi="Gill Sans MT"/>
        <w:b/>
        <w:color w:val="auto"/>
        <w:sz w:val="24"/>
      </w:rPr>
      <w:tblPr/>
      <w:tcPr>
        <w:tcBorders>
          <w:top w:val="single" w:sz="4" w:space="0" w:color="auto"/>
          <w:left w:val="single" w:sz="4" w:space="0" w:color="auto"/>
          <w:bottom w:val="single" w:sz="4" w:space="0" w:color="auto"/>
          <w:right w:val="single" w:sz="4" w:space="0" w:color="auto"/>
        </w:tcBorders>
        <w:shd w:val="clear" w:color="auto" w:fill="C4BC96" w:themeFill="background2" w:themeFillShade="BF"/>
      </w:tcPr>
    </w:tblStylePr>
    <w:tblStylePr w:type="lastRow">
      <w:rPr>
        <w:rFonts w:ascii="Gill Sans MT" w:hAnsi="Gill Sans MT"/>
        <w:sz w:val="24"/>
      </w:rPr>
      <w:tblPr/>
      <w:tcPr>
        <w:tcBorders>
          <w:top w:val="single" w:sz="4" w:space="0" w:color="auto"/>
          <w:left w:val="single" w:sz="4" w:space="0" w:color="auto"/>
          <w:bottom w:val="single" w:sz="4" w:space="0" w:color="auto"/>
          <w:right w:val="single" w:sz="4" w:space="0" w:color="auto"/>
        </w:tcBorders>
      </w:tcPr>
    </w:tblStylePr>
  </w:style>
  <w:style w:type="character" w:styleId="CommentReference">
    <w:name w:val="annotation reference"/>
    <w:basedOn w:val="DefaultParagraphFont"/>
    <w:uiPriority w:val="99"/>
    <w:semiHidden/>
    <w:unhideWhenUsed/>
    <w:rsid w:val="00E83828"/>
    <w:rPr>
      <w:sz w:val="16"/>
      <w:szCs w:val="16"/>
    </w:rPr>
  </w:style>
  <w:style w:type="paragraph" w:styleId="CommentText">
    <w:name w:val="annotation text"/>
    <w:basedOn w:val="Normal"/>
    <w:link w:val="CommentTextChar"/>
    <w:uiPriority w:val="99"/>
    <w:semiHidden/>
    <w:unhideWhenUsed/>
    <w:rsid w:val="00E83828"/>
    <w:rPr>
      <w:sz w:val="20"/>
      <w:szCs w:val="20"/>
    </w:rPr>
  </w:style>
  <w:style w:type="character" w:customStyle="1" w:styleId="CommentTextChar">
    <w:name w:val="Comment Text Char"/>
    <w:basedOn w:val="DefaultParagraphFont"/>
    <w:link w:val="CommentText"/>
    <w:uiPriority w:val="99"/>
    <w:semiHidden/>
    <w:rsid w:val="00E83828"/>
    <w:rPr>
      <w:sz w:val="20"/>
      <w:szCs w:val="20"/>
    </w:rPr>
  </w:style>
  <w:style w:type="paragraph" w:styleId="CommentSubject">
    <w:name w:val="annotation subject"/>
    <w:basedOn w:val="CommentText"/>
    <w:next w:val="CommentText"/>
    <w:link w:val="CommentSubjectChar"/>
    <w:uiPriority w:val="99"/>
    <w:semiHidden/>
    <w:unhideWhenUsed/>
    <w:rsid w:val="00E83828"/>
    <w:rPr>
      <w:b/>
      <w:bCs/>
    </w:rPr>
  </w:style>
  <w:style w:type="character" w:customStyle="1" w:styleId="CommentSubjectChar">
    <w:name w:val="Comment Subject Char"/>
    <w:basedOn w:val="CommentTextChar"/>
    <w:link w:val="CommentSubject"/>
    <w:uiPriority w:val="99"/>
    <w:semiHidden/>
    <w:rsid w:val="00E83828"/>
    <w:rPr>
      <w:b/>
      <w:bCs/>
      <w:sz w:val="20"/>
      <w:szCs w:val="20"/>
    </w:rPr>
  </w:style>
  <w:style w:type="paragraph" w:styleId="BalloonText">
    <w:name w:val="Balloon Text"/>
    <w:basedOn w:val="Normal"/>
    <w:link w:val="BalloonTextChar"/>
    <w:uiPriority w:val="99"/>
    <w:semiHidden/>
    <w:unhideWhenUsed/>
    <w:rsid w:val="00E838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828"/>
    <w:rPr>
      <w:rFonts w:ascii="Segoe UI" w:hAnsi="Segoe UI" w:cs="Segoe UI"/>
      <w:sz w:val="18"/>
      <w:szCs w:val="18"/>
    </w:rPr>
  </w:style>
  <w:style w:type="paragraph" w:styleId="Header">
    <w:name w:val="header"/>
    <w:basedOn w:val="Normal"/>
    <w:link w:val="HeaderChar"/>
    <w:uiPriority w:val="99"/>
    <w:unhideWhenUsed/>
    <w:rsid w:val="00E83828"/>
    <w:pPr>
      <w:tabs>
        <w:tab w:val="center" w:pos="4680"/>
        <w:tab w:val="right" w:pos="9360"/>
      </w:tabs>
    </w:pPr>
  </w:style>
  <w:style w:type="character" w:customStyle="1" w:styleId="HeaderChar">
    <w:name w:val="Header Char"/>
    <w:basedOn w:val="DefaultParagraphFont"/>
    <w:link w:val="Header"/>
    <w:uiPriority w:val="99"/>
    <w:rsid w:val="00E83828"/>
  </w:style>
  <w:style w:type="paragraph" w:styleId="Footer">
    <w:name w:val="footer"/>
    <w:basedOn w:val="Normal"/>
    <w:link w:val="FooterChar"/>
    <w:uiPriority w:val="99"/>
    <w:unhideWhenUsed/>
    <w:rsid w:val="00E83828"/>
    <w:pPr>
      <w:tabs>
        <w:tab w:val="center" w:pos="4680"/>
        <w:tab w:val="right" w:pos="9360"/>
      </w:tabs>
    </w:pPr>
  </w:style>
  <w:style w:type="character" w:customStyle="1" w:styleId="FooterChar">
    <w:name w:val="Footer Char"/>
    <w:basedOn w:val="DefaultParagraphFont"/>
    <w:link w:val="Footer"/>
    <w:uiPriority w:val="99"/>
    <w:rsid w:val="00E83828"/>
  </w:style>
  <w:style w:type="paragraph" w:styleId="ListParagraph">
    <w:name w:val="List Paragraph"/>
    <w:basedOn w:val="Normal"/>
    <w:uiPriority w:val="34"/>
    <w:qFormat/>
    <w:rsid w:val="00E83828"/>
    <w:pPr>
      <w:ind w:left="720"/>
      <w:contextualSpacing/>
    </w:pPr>
  </w:style>
  <w:style w:type="character" w:styleId="Hyperlink">
    <w:name w:val="Hyperlink"/>
    <w:basedOn w:val="DefaultParagraphFont"/>
    <w:uiPriority w:val="99"/>
    <w:unhideWhenUsed/>
    <w:rsid w:val="00C35004"/>
    <w:rPr>
      <w:color w:val="0000FF" w:themeColor="hyperlink"/>
      <w:u w:val="single"/>
    </w:rPr>
  </w:style>
  <w:style w:type="character" w:styleId="Emphasis">
    <w:name w:val="Emphasis"/>
    <w:basedOn w:val="DefaultParagraphFont"/>
    <w:uiPriority w:val="20"/>
    <w:qFormat/>
    <w:rsid w:val="002A226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eattle">
    <w:name w:val="Seattle"/>
    <w:basedOn w:val="TableNormal"/>
    <w:uiPriority w:val="99"/>
    <w:rsid w:val="00485743"/>
    <w:rPr>
      <w:rFonts w:ascii="Gill Sans MT" w:eastAsiaTheme="minorHAnsi" w:hAnsi="Gill Sans MT"/>
      <w:sz w:val="20"/>
      <w:szCs w:val="22"/>
    </w:rPr>
    <w:tblPr>
      <w:tblStyleRowBandSize w:val="1"/>
      <w:tblInd w:w="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blBorders>
      <w:tblCellMar>
        <w:top w:w="0" w:type="dxa"/>
        <w:left w:w="108" w:type="dxa"/>
        <w:bottom w:w="0" w:type="dxa"/>
        <w:right w:w="108" w:type="dxa"/>
      </w:tblCellMar>
    </w:tblPr>
    <w:tcPr>
      <w:vAlign w:val="center"/>
    </w:tcPr>
    <w:tblStylePr w:type="firstRow">
      <w:pPr>
        <w:jc w:val="left"/>
      </w:pPr>
      <w:rPr>
        <w:rFonts w:ascii="Gill Sans MT" w:hAnsi="Gill Sans MT"/>
        <w:b/>
        <w:sz w:val="20"/>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il"/>
          <w:insideV w:val="nil"/>
          <w:tl2br w:val="nil"/>
          <w:tr2bl w:val="nil"/>
        </w:tcBorders>
        <w:shd w:val="clear" w:color="auto" w:fill="BFBFBF" w:themeFill="background1" w:themeFillShade="BF"/>
      </w:tcPr>
    </w:tblStylePr>
  </w:style>
  <w:style w:type="table" w:customStyle="1" w:styleId="Nashville">
    <w:name w:val="Nashville"/>
    <w:basedOn w:val="TableNormal"/>
    <w:uiPriority w:val="99"/>
    <w:rsid w:val="00485743"/>
    <w:rPr>
      <w:rFonts w:ascii="Gill Sans MT" w:eastAsiaTheme="minorHAnsi" w:hAnsi="Gill Sans MT" w:cs="Times New Roman"/>
      <w:szCs w:val="22"/>
    </w:r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tblStylePr w:type="firstRow">
      <w:rPr>
        <w:rFonts w:ascii="Gill Sans MT" w:hAnsi="Gill Sans MT"/>
        <w:b/>
        <w:color w:val="auto"/>
        <w:sz w:val="24"/>
      </w:rPr>
      <w:tblPr/>
      <w:tcPr>
        <w:tcBorders>
          <w:top w:val="single" w:sz="4" w:space="0" w:color="auto"/>
          <w:left w:val="single" w:sz="4" w:space="0" w:color="auto"/>
          <w:bottom w:val="single" w:sz="4" w:space="0" w:color="auto"/>
          <w:right w:val="single" w:sz="4" w:space="0" w:color="auto"/>
        </w:tcBorders>
        <w:shd w:val="clear" w:color="auto" w:fill="C4BC96" w:themeFill="background2" w:themeFillShade="BF"/>
      </w:tcPr>
    </w:tblStylePr>
    <w:tblStylePr w:type="lastRow">
      <w:rPr>
        <w:rFonts w:ascii="Gill Sans MT" w:hAnsi="Gill Sans MT"/>
        <w:sz w:val="24"/>
      </w:rPr>
      <w:tblPr/>
      <w:tcPr>
        <w:tcBorders>
          <w:top w:val="single" w:sz="4" w:space="0" w:color="auto"/>
          <w:left w:val="single" w:sz="4" w:space="0" w:color="auto"/>
          <w:bottom w:val="single" w:sz="4" w:space="0" w:color="auto"/>
          <w:right w:val="single" w:sz="4" w:space="0" w:color="auto"/>
        </w:tcBorders>
      </w:tcPr>
    </w:tblStylePr>
  </w:style>
  <w:style w:type="character" w:styleId="CommentReference">
    <w:name w:val="annotation reference"/>
    <w:basedOn w:val="DefaultParagraphFont"/>
    <w:uiPriority w:val="99"/>
    <w:semiHidden/>
    <w:unhideWhenUsed/>
    <w:rsid w:val="00E83828"/>
    <w:rPr>
      <w:sz w:val="16"/>
      <w:szCs w:val="16"/>
    </w:rPr>
  </w:style>
  <w:style w:type="paragraph" w:styleId="CommentText">
    <w:name w:val="annotation text"/>
    <w:basedOn w:val="Normal"/>
    <w:link w:val="CommentTextChar"/>
    <w:uiPriority w:val="99"/>
    <w:semiHidden/>
    <w:unhideWhenUsed/>
    <w:rsid w:val="00E83828"/>
    <w:rPr>
      <w:sz w:val="20"/>
      <w:szCs w:val="20"/>
    </w:rPr>
  </w:style>
  <w:style w:type="character" w:customStyle="1" w:styleId="CommentTextChar">
    <w:name w:val="Comment Text Char"/>
    <w:basedOn w:val="DefaultParagraphFont"/>
    <w:link w:val="CommentText"/>
    <w:uiPriority w:val="99"/>
    <w:semiHidden/>
    <w:rsid w:val="00E83828"/>
    <w:rPr>
      <w:sz w:val="20"/>
      <w:szCs w:val="20"/>
    </w:rPr>
  </w:style>
  <w:style w:type="paragraph" w:styleId="CommentSubject">
    <w:name w:val="annotation subject"/>
    <w:basedOn w:val="CommentText"/>
    <w:next w:val="CommentText"/>
    <w:link w:val="CommentSubjectChar"/>
    <w:uiPriority w:val="99"/>
    <w:semiHidden/>
    <w:unhideWhenUsed/>
    <w:rsid w:val="00E83828"/>
    <w:rPr>
      <w:b/>
      <w:bCs/>
    </w:rPr>
  </w:style>
  <w:style w:type="character" w:customStyle="1" w:styleId="CommentSubjectChar">
    <w:name w:val="Comment Subject Char"/>
    <w:basedOn w:val="CommentTextChar"/>
    <w:link w:val="CommentSubject"/>
    <w:uiPriority w:val="99"/>
    <w:semiHidden/>
    <w:rsid w:val="00E83828"/>
    <w:rPr>
      <w:b/>
      <w:bCs/>
      <w:sz w:val="20"/>
      <w:szCs w:val="20"/>
    </w:rPr>
  </w:style>
  <w:style w:type="paragraph" w:styleId="BalloonText">
    <w:name w:val="Balloon Text"/>
    <w:basedOn w:val="Normal"/>
    <w:link w:val="BalloonTextChar"/>
    <w:uiPriority w:val="99"/>
    <w:semiHidden/>
    <w:unhideWhenUsed/>
    <w:rsid w:val="00E838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828"/>
    <w:rPr>
      <w:rFonts w:ascii="Segoe UI" w:hAnsi="Segoe UI" w:cs="Segoe UI"/>
      <w:sz w:val="18"/>
      <w:szCs w:val="18"/>
    </w:rPr>
  </w:style>
  <w:style w:type="paragraph" w:styleId="Header">
    <w:name w:val="header"/>
    <w:basedOn w:val="Normal"/>
    <w:link w:val="HeaderChar"/>
    <w:uiPriority w:val="99"/>
    <w:unhideWhenUsed/>
    <w:rsid w:val="00E83828"/>
    <w:pPr>
      <w:tabs>
        <w:tab w:val="center" w:pos="4680"/>
        <w:tab w:val="right" w:pos="9360"/>
      </w:tabs>
    </w:pPr>
  </w:style>
  <w:style w:type="character" w:customStyle="1" w:styleId="HeaderChar">
    <w:name w:val="Header Char"/>
    <w:basedOn w:val="DefaultParagraphFont"/>
    <w:link w:val="Header"/>
    <w:uiPriority w:val="99"/>
    <w:rsid w:val="00E83828"/>
  </w:style>
  <w:style w:type="paragraph" w:styleId="Footer">
    <w:name w:val="footer"/>
    <w:basedOn w:val="Normal"/>
    <w:link w:val="FooterChar"/>
    <w:uiPriority w:val="99"/>
    <w:unhideWhenUsed/>
    <w:rsid w:val="00E83828"/>
    <w:pPr>
      <w:tabs>
        <w:tab w:val="center" w:pos="4680"/>
        <w:tab w:val="right" w:pos="9360"/>
      </w:tabs>
    </w:pPr>
  </w:style>
  <w:style w:type="character" w:customStyle="1" w:styleId="FooterChar">
    <w:name w:val="Footer Char"/>
    <w:basedOn w:val="DefaultParagraphFont"/>
    <w:link w:val="Footer"/>
    <w:uiPriority w:val="99"/>
    <w:rsid w:val="00E83828"/>
  </w:style>
  <w:style w:type="paragraph" w:styleId="ListParagraph">
    <w:name w:val="List Paragraph"/>
    <w:basedOn w:val="Normal"/>
    <w:uiPriority w:val="34"/>
    <w:qFormat/>
    <w:rsid w:val="00E83828"/>
    <w:pPr>
      <w:ind w:left="720"/>
      <w:contextualSpacing/>
    </w:pPr>
  </w:style>
  <w:style w:type="character" w:styleId="Hyperlink">
    <w:name w:val="Hyperlink"/>
    <w:basedOn w:val="DefaultParagraphFont"/>
    <w:uiPriority w:val="99"/>
    <w:unhideWhenUsed/>
    <w:rsid w:val="00C35004"/>
    <w:rPr>
      <w:color w:val="0000FF" w:themeColor="hyperlink"/>
      <w:u w:val="single"/>
    </w:rPr>
  </w:style>
  <w:style w:type="character" w:styleId="Emphasis">
    <w:name w:val="Emphasis"/>
    <w:basedOn w:val="DefaultParagraphFont"/>
    <w:uiPriority w:val="20"/>
    <w:qFormat/>
    <w:rsid w:val="002A22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77343">
      <w:bodyDiv w:val="1"/>
      <w:marLeft w:val="0"/>
      <w:marRight w:val="0"/>
      <w:marTop w:val="0"/>
      <w:marBottom w:val="0"/>
      <w:divBdr>
        <w:top w:val="none" w:sz="0" w:space="0" w:color="auto"/>
        <w:left w:val="none" w:sz="0" w:space="0" w:color="auto"/>
        <w:bottom w:val="none" w:sz="0" w:space="0" w:color="auto"/>
        <w:right w:val="none" w:sz="0" w:space="0" w:color="auto"/>
      </w:divBdr>
    </w:div>
    <w:div w:id="503782444">
      <w:bodyDiv w:val="1"/>
      <w:marLeft w:val="0"/>
      <w:marRight w:val="0"/>
      <w:marTop w:val="0"/>
      <w:marBottom w:val="0"/>
      <w:divBdr>
        <w:top w:val="none" w:sz="0" w:space="0" w:color="auto"/>
        <w:left w:val="none" w:sz="0" w:space="0" w:color="auto"/>
        <w:bottom w:val="none" w:sz="0" w:space="0" w:color="auto"/>
        <w:right w:val="none" w:sz="0" w:space="0" w:color="auto"/>
      </w:divBdr>
    </w:div>
    <w:div w:id="1001159995">
      <w:bodyDiv w:val="1"/>
      <w:marLeft w:val="0"/>
      <w:marRight w:val="0"/>
      <w:marTop w:val="0"/>
      <w:marBottom w:val="0"/>
      <w:divBdr>
        <w:top w:val="none" w:sz="0" w:space="0" w:color="auto"/>
        <w:left w:val="none" w:sz="0" w:space="0" w:color="auto"/>
        <w:bottom w:val="none" w:sz="0" w:space="0" w:color="auto"/>
        <w:right w:val="none" w:sz="0" w:space="0" w:color="auto"/>
      </w:divBdr>
    </w:div>
    <w:div w:id="1044599933">
      <w:bodyDiv w:val="1"/>
      <w:marLeft w:val="0"/>
      <w:marRight w:val="0"/>
      <w:marTop w:val="0"/>
      <w:marBottom w:val="0"/>
      <w:divBdr>
        <w:top w:val="none" w:sz="0" w:space="0" w:color="auto"/>
        <w:left w:val="none" w:sz="0" w:space="0" w:color="auto"/>
        <w:bottom w:val="none" w:sz="0" w:space="0" w:color="auto"/>
        <w:right w:val="none" w:sz="0" w:space="0" w:color="auto"/>
      </w:divBdr>
    </w:div>
    <w:div w:id="17686945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aronson@brandeis.edu" TargetMode="External"/><Relationship Id="rId9" Type="http://schemas.openxmlformats.org/officeDocument/2006/relationships/hyperlink" Target="http://www.brandeis.edu/ssri/communitystudies/bostonreport.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2263</Words>
  <Characters>12903</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Brookner</dc:creator>
  <cp:keywords/>
  <dc:description/>
  <cp:lastModifiedBy>Matt Brookner</cp:lastModifiedBy>
  <cp:revision>13</cp:revision>
  <dcterms:created xsi:type="dcterms:W3CDTF">2016-12-21T13:04:00Z</dcterms:created>
  <dcterms:modified xsi:type="dcterms:W3CDTF">2017-01-10T19:26:00Z</dcterms:modified>
</cp:coreProperties>
</file>